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r>
        <w:rPr>
          <w:rFonts w:hint="eastAsia" w:ascii="宋体" w:hAnsi="宋体"/>
          <w:b/>
          <w:sz w:val="52"/>
          <w:szCs w:val="52"/>
        </w:rPr>
        <w:t>中国地质大学（北京） 北地一网通办采购项目</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84"/>
          <w:szCs w:val="84"/>
        </w:rPr>
      </w:pPr>
      <w:r>
        <w:rPr>
          <w:rFonts w:hint="eastAsia" w:ascii="宋体" w:hAnsi="宋体"/>
          <w:b/>
          <w:sz w:val="84"/>
          <w:szCs w:val="84"/>
        </w:rPr>
        <w:t>招 标 文 件</w:t>
      </w:r>
    </w:p>
    <w:p>
      <w:pPr>
        <w:ind w:firstLine="2814" w:firstLineChars="1001"/>
        <w:rPr>
          <w:rFonts w:ascii="宋体" w:hAnsi="宋体"/>
          <w:b/>
          <w:sz w:val="28"/>
        </w:rPr>
      </w:pPr>
    </w:p>
    <w:p>
      <w:pPr>
        <w:ind w:firstLine="2814" w:firstLineChars="1001"/>
        <w:rPr>
          <w:rFonts w:ascii="宋体" w:hAnsi="宋体"/>
          <w:b/>
          <w:sz w:val="28"/>
        </w:rPr>
      </w:pPr>
    </w:p>
    <w:p>
      <w:pPr>
        <w:ind w:firstLine="3213" w:firstLineChars="1000"/>
        <w:rPr>
          <w:rFonts w:ascii="宋体" w:hAnsi="宋体"/>
          <w:b/>
          <w:sz w:val="32"/>
        </w:rPr>
      </w:pPr>
    </w:p>
    <w:p>
      <w:pPr>
        <w:jc w:val="center"/>
        <w:rPr>
          <w:rFonts w:ascii="宋体" w:hAnsi="宋体"/>
          <w:b/>
          <w:sz w:val="32"/>
        </w:rPr>
      </w:pPr>
      <w:r>
        <w:rPr>
          <w:rFonts w:hint="eastAsia" w:ascii="宋体" w:hAnsi="宋体"/>
          <w:b/>
          <w:sz w:val="32"/>
        </w:rPr>
        <w:t>项目编号：BIECC-23ZB0295</w:t>
      </w:r>
    </w:p>
    <w:p>
      <w:pPr>
        <w:jc w:val="center"/>
        <w:rPr>
          <w:rFonts w:ascii="宋体" w:hAnsi="宋体"/>
          <w:b/>
          <w:sz w:val="52"/>
        </w:rPr>
      </w:pPr>
    </w:p>
    <w:p>
      <w:pPr>
        <w:jc w:val="center"/>
        <w:rPr>
          <w:rFonts w:ascii="宋体" w:hAnsi="宋体"/>
          <w:b/>
          <w:sz w:val="52"/>
        </w:rPr>
      </w:pPr>
    </w:p>
    <w:p>
      <w:pPr>
        <w:pStyle w:val="2"/>
        <w:ind w:firstLine="1044"/>
        <w:rPr>
          <w:rFonts w:ascii="宋体" w:hAnsi="宋体"/>
          <w:b/>
          <w:sz w:val="52"/>
        </w:rPr>
      </w:pPr>
    </w:p>
    <w:p>
      <w:pPr>
        <w:rPr>
          <w:rFonts w:ascii="宋体" w:hAnsi="宋体"/>
          <w:b/>
          <w:sz w:val="52"/>
        </w:rPr>
      </w:pPr>
    </w:p>
    <w:p>
      <w:pPr>
        <w:pStyle w:val="2"/>
        <w:ind w:firstLine="1044"/>
        <w:rPr>
          <w:rFonts w:ascii="宋体" w:hAnsi="宋体"/>
          <w:b/>
          <w:sz w:val="52"/>
        </w:rPr>
      </w:pPr>
    </w:p>
    <w:p/>
    <w:p>
      <w:pPr>
        <w:jc w:val="center"/>
        <w:rPr>
          <w:rFonts w:ascii="宋体" w:hAnsi="宋体"/>
          <w:b/>
          <w:sz w:val="48"/>
          <w:szCs w:val="48"/>
        </w:rPr>
      </w:pPr>
    </w:p>
    <w:p>
      <w:pPr>
        <w:adjustRightInd w:val="0"/>
        <w:snapToGrid w:val="0"/>
        <w:spacing w:line="360" w:lineRule="auto"/>
        <w:ind w:firstLine="723" w:firstLineChars="200"/>
        <w:rPr>
          <w:rFonts w:ascii="宋体" w:hAnsi="宋体"/>
          <w:b/>
          <w:sz w:val="36"/>
          <w:szCs w:val="36"/>
        </w:rPr>
      </w:pPr>
      <w:r>
        <w:rPr>
          <w:rFonts w:hint="eastAsia" w:ascii="宋体" w:hAnsi="宋体"/>
          <w:b/>
          <w:sz w:val="36"/>
          <w:szCs w:val="36"/>
        </w:rPr>
        <w:t>采购</w:t>
      </w:r>
      <w:r>
        <w:rPr>
          <w:rFonts w:ascii="宋体" w:hAnsi="宋体"/>
          <w:b/>
          <w:sz w:val="36"/>
          <w:szCs w:val="36"/>
        </w:rPr>
        <w:t>人：</w:t>
      </w:r>
      <w:r>
        <w:rPr>
          <w:rFonts w:hint="eastAsia" w:ascii="宋体" w:hAnsi="宋体"/>
          <w:b/>
          <w:sz w:val="36"/>
          <w:szCs w:val="36"/>
        </w:rPr>
        <w:t>中国地质大学（北京）</w:t>
      </w:r>
    </w:p>
    <w:p>
      <w:pPr>
        <w:adjustRightInd w:val="0"/>
        <w:snapToGrid w:val="0"/>
        <w:spacing w:line="360" w:lineRule="auto"/>
        <w:ind w:firstLine="723" w:firstLineChars="200"/>
        <w:rPr>
          <w:rFonts w:ascii="宋体" w:hAnsi="宋体"/>
          <w:b/>
          <w:sz w:val="36"/>
          <w:szCs w:val="36"/>
        </w:rPr>
      </w:pPr>
      <w:r>
        <w:rPr>
          <w:rFonts w:hint="eastAsia" w:ascii="宋体" w:hAnsi="宋体"/>
          <w:b/>
          <w:sz w:val="36"/>
          <w:szCs w:val="36"/>
        </w:rPr>
        <w:t>采购</w:t>
      </w:r>
      <w:r>
        <w:rPr>
          <w:rFonts w:ascii="宋体" w:hAnsi="宋体"/>
          <w:b/>
          <w:sz w:val="36"/>
          <w:szCs w:val="36"/>
        </w:rPr>
        <w:t>代理：</w:t>
      </w:r>
      <w:r>
        <w:rPr>
          <w:rFonts w:hint="eastAsia" w:ascii="宋体" w:hAnsi="宋体"/>
          <w:b/>
          <w:sz w:val="36"/>
          <w:szCs w:val="36"/>
        </w:rPr>
        <w:t>北京国际工程咨询有限公司</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2023年07月</w:t>
      </w:r>
    </w:p>
    <w:p>
      <w:pPr>
        <w:jc w:val="center"/>
        <w:rPr>
          <w:rFonts w:hint="eastAsia" w:hAnsi="宋体"/>
          <w:b/>
          <w:sz w:val="28"/>
        </w:rPr>
        <w:sectPr>
          <w:footerReference r:id="rId3" w:type="default"/>
          <w:pgSz w:w="11907" w:h="16840"/>
          <w:pgMar w:top="1418" w:right="1134" w:bottom="1418" w:left="1701" w:header="851" w:footer="851" w:gutter="0"/>
          <w:pgNumType w:start="1"/>
          <w:cols w:space="720" w:num="1"/>
          <w:docGrid w:linePitch="462" w:charSpace="0"/>
        </w:sectPr>
      </w:pPr>
    </w:p>
    <w:p>
      <w:pPr>
        <w:jc w:val="center"/>
        <w:rPr>
          <w:rFonts w:hAnsi="宋体"/>
          <w:b/>
          <w:sz w:val="28"/>
        </w:rPr>
      </w:pPr>
      <w:r>
        <w:rPr>
          <w:rFonts w:hint="eastAsia" w:hAnsi="宋体"/>
          <w:b/>
          <w:sz w:val="28"/>
        </w:rPr>
        <w:t>目</w:t>
      </w:r>
      <w:r>
        <w:rPr>
          <w:rFonts w:hAnsi="宋体"/>
          <w:b/>
          <w:sz w:val="28"/>
        </w:rPr>
        <w:t xml:space="preserve">      </w:t>
      </w:r>
      <w:r>
        <w:rPr>
          <w:rFonts w:hint="eastAsia" w:hAnsi="宋体"/>
          <w:b/>
          <w:sz w:val="28"/>
        </w:rPr>
        <w:t>录</w:t>
      </w:r>
    </w:p>
    <w:p>
      <w:pPr>
        <w:pStyle w:val="23"/>
        <w:tabs>
          <w:tab w:val="right" w:leader="dot" w:pos="9072"/>
          <w:tab w:val="clear" w:pos="8937"/>
        </w:tabs>
        <w:spacing w:line="360" w:lineRule="auto"/>
        <w:rPr>
          <w:sz w:val="24"/>
        </w:rPr>
      </w:pPr>
      <w:r>
        <w:rPr>
          <w:rFonts w:ascii="宋体"/>
          <w:sz w:val="24"/>
        </w:rPr>
        <w:fldChar w:fldCharType="begin"/>
      </w:r>
      <w:r>
        <w:rPr>
          <w:rFonts w:ascii="宋体"/>
          <w:sz w:val="24"/>
        </w:rPr>
        <w:instrText xml:space="preserve"> </w:instrText>
      </w:r>
      <w:r>
        <w:rPr>
          <w:rFonts w:hint="eastAsia" w:ascii="宋体"/>
          <w:sz w:val="24"/>
        </w:rPr>
        <w:instrText xml:space="preserve">TOC \o "1-3" \h \z \u</w:instrText>
      </w:r>
      <w:r>
        <w:rPr>
          <w:rFonts w:ascii="宋体"/>
          <w:sz w:val="24"/>
        </w:rPr>
        <w:instrText xml:space="preserve"> </w:instrText>
      </w:r>
      <w:r>
        <w:rPr>
          <w:rFonts w:ascii="宋体"/>
          <w:sz w:val="24"/>
        </w:rPr>
        <w:fldChar w:fldCharType="separate"/>
      </w:r>
      <w:r>
        <w:fldChar w:fldCharType="begin"/>
      </w:r>
      <w:r>
        <w:instrText xml:space="preserve"> HYPERLINK \l "_Toc4342" </w:instrText>
      </w:r>
      <w:r>
        <w:fldChar w:fldCharType="separate"/>
      </w:r>
      <w:r>
        <w:rPr>
          <w:rFonts w:hint="eastAsia"/>
          <w:sz w:val="24"/>
        </w:rPr>
        <w:t>第一章</w:t>
      </w:r>
      <w:r>
        <w:rPr>
          <w:sz w:val="24"/>
        </w:rPr>
        <w:t xml:space="preserve"> </w:t>
      </w:r>
      <w:r>
        <w:rPr>
          <w:rFonts w:hint="eastAsia"/>
          <w:sz w:val="24"/>
        </w:rPr>
        <w:t>投标邀请</w:t>
      </w:r>
      <w:r>
        <w:rPr>
          <w:sz w:val="24"/>
        </w:rPr>
        <w:tab/>
      </w:r>
      <w:r>
        <w:rPr>
          <w:sz w:val="24"/>
        </w:rPr>
        <w:fldChar w:fldCharType="begin"/>
      </w:r>
      <w:r>
        <w:rPr>
          <w:sz w:val="24"/>
        </w:rPr>
        <w:instrText xml:space="preserve"> PAGEREF _Toc4342 \h </w:instrText>
      </w:r>
      <w:r>
        <w:rPr>
          <w:sz w:val="24"/>
        </w:rPr>
        <w:fldChar w:fldCharType="separate"/>
      </w:r>
      <w:r>
        <w:rPr>
          <w:sz w:val="24"/>
        </w:rPr>
        <w:t>2</w:t>
      </w:r>
      <w:r>
        <w:rPr>
          <w:sz w:val="24"/>
        </w:rPr>
        <w:fldChar w:fldCharType="end"/>
      </w:r>
      <w:r>
        <w:rPr>
          <w:sz w:val="24"/>
        </w:rPr>
        <w:fldChar w:fldCharType="end"/>
      </w:r>
    </w:p>
    <w:p>
      <w:pPr>
        <w:pStyle w:val="23"/>
        <w:tabs>
          <w:tab w:val="right" w:leader="dot" w:pos="9072"/>
          <w:tab w:val="clear" w:pos="8937"/>
        </w:tabs>
        <w:spacing w:line="360" w:lineRule="auto"/>
        <w:rPr>
          <w:sz w:val="24"/>
        </w:rPr>
      </w:pPr>
      <w:r>
        <w:fldChar w:fldCharType="begin"/>
      </w:r>
      <w:r>
        <w:instrText xml:space="preserve"> HYPERLINK \l "_Toc20543" </w:instrText>
      </w:r>
      <w:r>
        <w:fldChar w:fldCharType="separate"/>
      </w:r>
      <w:r>
        <w:rPr>
          <w:rFonts w:hint="eastAsia"/>
          <w:sz w:val="24"/>
        </w:rPr>
        <w:t>第二章</w:t>
      </w:r>
      <w:r>
        <w:rPr>
          <w:sz w:val="24"/>
        </w:rPr>
        <w:t xml:space="preserve"> </w:t>
      </w:r>
      <w:r>
        <w:rPr>
          <w:rFonts w:hint="eastAsia"/>
          <w:sz w:val="24"/>
        </w:rPr>
        <w:t>投标人须知</w:t>
      </w:r>
      <w:r>
        <w:rPr>
          <w:sz w:val="24"/>
        </w:rPr>
        <w:tab/>
      </w:r>
      <w:r>
        <w:rPr>
          <w:sz w:val="24"/>
        </w:rPr>
        <w:fldChar w:fldCharType="begin"/>
      </w:r>
      <w:r>
        <w:rPr>
          <w:sz w:val="24"/>
        </w:rPr>
        <w:instrText xml:space="preserve"> PAGEREF _Toc20543 \h </w:instrText>
      </w:r>
      <w:r>
        <w:rPr>
          <w:sz w:val="24"/>
        </w:rPr>
        <w:fldChar w:fldCharType="separate"/>
      </w:r>
      <w:r>
        <w:rPr>
          <w:sz w:val="24"/>
        </w:rPr>
        <w:t>5</w:t>
      </w:r>
      <w:r>
        <w:rPr>
          <w:sz w:val="24"/>
        </w:rPr>
        <w:fldChar w:fldCharType="end"/>
      </w:r>
      <w:r>
        <w:rPr>
          <w:sz w:val="24"/>
        </w:rPr>
        <w:fldChar w:fldCharType="end"/>
      </w:r>
    </w:p>
    <w:p>
      <w:pPr>
        <w:pStyle w:val="23"/>
        <w:tabs>
          <w:tab w:val="right" w:leader="dot" w:pos="9072"/>
          <w:tab w:val="clear" w:pos="8937"/>
        </w:tabs>
        <w:spacing w:line="360" w:lineRule="auto"/>
        <w:rPr>
          <w:sz w:val="24"/>
        </w:rPr>
      </w:pPr>
      <w:r>
        <w:fldChar w:fldCharType="begin"/>
      </w:r>
      <w:r>
        <w:instrText xml:space="preserve"> HYPERLINK \l "_Toc22440" </w:instrText>
      </w:r>
      <w:r>
        <w:fldChar w:fldCharType="separate"/>
      </w:r>
      <w:r>
        <w:rPr>
          <w:rFonts w:hint="eastAsia"/>
          <w:sz w:val="24"/>
        </w:rPr>
        <w:t>第三章 资格审查</w:t>
      </w:r>
      <w:r>
        <w:rPr>
          <w:sz w:val="24"/>
        </w:rPr>
        <w:tab/>
      </w:r>
      <w:r>
        <w:rPr>
          <w:sz w:val="24"/>
        </w:rPr>
        <w:fldChar w:fldCharType="begin"/>
      </w:r>
      <w:r>
        <w:rPr>
          <w:sz w:val="24"/>
        </w:rPr>
        <w:instrText xml:space="preserve"> PAGEREF _Toc22440 \h </w:instrText>
      </w:r>
      <w:r>
        <w:rPr>
          <w:sz w:val="24"/>
        </w:rPr>
        <w:fldChar w:fldCharType="separate"/>
      </w:r>
      <w:r>
        <w:rPr>
          <w:sz w:val="24"/>
        </w:rPr>
        <w:t>24</w:t>
      </w:r>
      <w:r>
        <w:rPr>
          <w:sz w:val="24"/>
        </w:rPr>
        <w:fldChar w:fldCharType="end"/>
      </w:r>
      <w:r>
        <w:rPr>
          <w:sz w:val="24"/>
        </w:rPr>
        <w:fldChar w:fldCharType="end"/>
      </w:r>
    </w:p>
    <w:p>
      <w:pPr>
        <w:pStyle w:val="23"/>
        <w:tabs>
          <w:tab w:val="right" w:leader="dot" w:pos="9072"/>
          <w:tab w:val="clear" w:pos="8937"/>
        </w:tabs>
        <w:spacing w:line="360" w:lineRule="auto"/>
        <w:rPr>
          <w:sz w:val="24"/>
        </w:rPr>
      </w:pPr>
      <w:r>
        <w:fldChar w:fldCharType="begin"/>
      </w:r>
      <w:r>
        <w:instrText xml:space="preserve"> HYPERLINK \l "_Toc217" </w:instrText>
      </w:r>
      <w:r>
        <w:fldChar w:fldCharType="separate"/>
      </w:r>
      <w:r>
        <w:rPr>
          <w:sz w:val="24"/>
        </w:rPr>
        <w:t>第四章 评标程序、评标方法和评标标准</w:t>
      </w:r>
      <w:r>
        <w:rPr>
          <w:sz w:val="24"/>
        </w:rPr>
        <w:tab/>
      </w:r>
      <w:r>
        <w:rPr>
          <w:sz w:val="24"/>
        </w:rPr>
        <w:fldChar w:fldCharType="begin"/>
      </w:r>
      <w:r>
        <w:rPr>
          <w:sz w:val="24"/>
        </w:rPr>
        <w:instrText xml:space="preserve"> PAGEREF _Toc217 \h </w:instrText>
      </w:r>
      <w:r>
        <w:rPr>
          <w:sz w:val="24"/>
        </w:rPr>
        <w:fldChar w:fldCharType="separate"/>
      </w:r>
      <w:r>
        <w:rPr>
          <w:sz w:val="24"/>
        </w:rPr>
        <w:t>27</w:t>
      </w:r>
      <w:r>
        <w:rPr>
          <w:sz w:val="24"/>
        </w:rPr>
        <w:fldChar w:fldCharType="end"/>
      </w:r>
      <w:r>
        <w:rPr>
          <w:sz w:val="24"/>
        </w:rPr>
        <w:fldChar w:fldCharType="end"/>
      </w:r>
    </w:p>
    <w:p>
      <w:pPr>
        <w:pStyle w:val="23"/>
        <w:tabs>
          <w:tab w:val="right" w:leader="dot" w:pos="9072"/>
          <w:tab w:val="clear" w:pos="8937"/>
        </w:tabs>
        <w:spacing w:line="360" w:lineRule="auto"/>
        <w:rPr>
          <w:sz w:val="24"/>
        </w:rPr>
      </w:pPr>
      <w:r>
        <w:fldChar w:fldCharType="begin"/>
      </w:r>
      <w:r>
        <w:instrText xml:space="preserve"> HYPERLINK \l "_Toc15643" </w:instrText>
      </w:r>
      <w:r>
        <w:fldChar w:fldCharType="separate"/>
      </w:r>
      <w:r>
        <w:rPr>
          <w:rFonts w:hint="eastAsia"/>
          <w:bCs/>
          <w:sz w:val="24"/>
        </w:rPr>
        <w:t>第五章 采购需求</w:t>
      </w:r>
      <w:r>
        <w:rPr>
          <w:sz w:val="24"/>
        </w:rPr>
        <w:tab/>
      </w:r>
      <w:r>
        <w:rPr>
          <w:sz w:val="24"/>
        </w:rPr>
        <w:fldChar w:fldCharType="begin"/>
      </w:r>
      <w:r>
        <w:rPr>
          <w:sz w:val="24"/>
        </w:rPr>
        <w:instrText xml:space="preserve"> PAGEREF _Toc15643 \h </w:instrText>
      </w:r>
      <w:r>
        <w:rPr>
          <w:sz w:val="24"/>
        </w:rPr>
        <w:fldChar w:fldCharType="separate"/>
      </w:r>
      <w:r>
        <w:rPr>
          <w:sz w:val="24"/>
        </w:rPr>
        <w:t>35</w:t>
      </w:r>
      <w:r>
        <w:rPr>
          <w:sz w:val="24"/>
        </w:rPr>
        <w:fldChar w:fldCharType="end"/>
      </w:r>
      <w:r>
        <w:rPr>
          <w:sz w:val="24"/>
        </w:rPr>
        <w:fldChar w:fldCharType="end"/>
      </w:r>
    </w:p>
    <w:p>
      <w:pPr>
        <w:pStyle w:val="23"/>
        <w:tabs>
          <w:tab w:val="right" w:leader="dot" w:pos="9072"/>
          <w:tab w:val="clear" w:pos="8937"/>
        </w:tabs>
        <w:spacing w:line="360" w:lineRule="auto"/>
        <w:rPr>
          <w:sz w:val="24"/>
        </w:rPr>
      </w:pPr>
      <w:r>
        <w:fldChar w:fldCharType="begin"/>
      </w:r>
      <w:r>
        <w:instrText xml:space="preserve"> HYPERLINK \l "_Toc20778" </w:instrText>
      </w:r>
      <w:r>
        <w:fldChar w:fldCharType="separate"/>
      </w:r>
      <w:r>
        <w:rPr>
          <w:rFonts w:hint="eastAsia"/>
          <w:bCs/>
          <w:sz w:val="24"/>
        </w:rPr>
        <w:t>第六章 拟签订的合同文本</w:t>
      </w:r>
      <w:r>
        <w:rPr>
          <w:sz w:val="24"/>
        </w:rPr>
        <w:tab/>
      </w:r>
      <w:r>
        <w:rPr>
          <w:sz w:val="24"/>
        </w:rPr>
        <w:fldChar w:fldCharType="begin"/>
      </w:r>
      <w:r>
        <w:rPr>
          <w:sz w:val="24"/>
        </w:rPr>
        <w:instrText xml:space="preserve"> PAGEREF _Toc20778 \h </w:instrText>
      </w:r>
      <w:r>
        <w:rPr>
          <w:sz w:val="24"/>
        </w:rPr>
        <w:fldChar w:fldCharType="separate"/>
      </w:r>
      <w:r>
        <w:rPr>
          <w:sz w:val="24"/>
        </w:rPr>
        <w:t>53</w:t>
      </w:r>
      <w:r>
        <w:rPr>
          <w:sz w:val="24"/>
        </w:rPr>
        <w:fldChar w:fldCharType="end"/>
      </w:r>
      <w:r>
        <w:rPr>
          <w:sz w:val="24"/>
        </w:rPr>
        <w:fldChar w:fldCharType="end"/>
      </w:r>
    </w:p>
    <w:p>
      <w:pPr>
        <w:pStyle w:val="23"/>
        <w:tabs>
          <w:tab w:val="right" w:leader="dot" w:pos="9072"/>
          <w:tab w:val="clear" w:pos="8937"/>
        </w:tabs>
        <w:spacing w:line="360" w:lineRule="auto"/>
        <w:rPr>
          <w:sz w:val="24"/>
        </w:rPr>
      </w:pPr>
      <w:r>
        <w:fldChar w:fldCharType="begin"/>
      </w:r>
      <w:r>
        <w:instrText xml:space="preserve"> HYPERLINK \l "_Toc20452" </w:instrText>
      </w:r>
      <w:r>
        <w:fldChar w:fldCharType="separate"/>
      </w:r>
      <w:r>
        <w:rPr>
          <w:rFonts w:hint="eastAsia"/>
          <w:sz w:val="24"/>
        </w:rPr>
        <w:t>第七章 投标文件格式</w:t>
      </w:r>
      <w:r>
        <w:rPr>
          <w:sz w:val="24"/>
        </w:rPr>
        <w:tab/>
      </w:r>
      <w:r>
        <w:rPr>
          <w:sz w:val="24"/>
        </w:rPr>
        <w:fldChar w:fldCharType="begin"/>
      </w:r>
      <w:r>
        <w:rPr>
          <w:sz w:val="24"/>
        </w:rPr>
        <w:instrText xml:space="preserve"> PAGEREF _Toc20452 \h </w:instrText>
      </w:r>
      <w:r>
        <w:rPr>
          <w:sz w:val="24"/>
        </w:rPr>
        <w:fldChar w:fldCharType="separate"/>
      </w:r>
      <w:r>
        <w:rPr>
          <w:sz w:val="24"/>
        </w:rPr>
        <w:t>61</w:t>
      </w:r>
      <w:r>
        <w:rPr>
          <w:sz w:val="24"/>
        </w:rPr>
        <w:fldChar w:fldCharType="end"/>
      </w:r>
      <w:r>
        <w:rPr>
          <w:sz w:val="24"/>
        </w:rPr>
        <w:fldChar w:fldCharType="end"/>
      </w:r>
    </w:p>
    <w:p>
      <w:pPr>
        <w:pStyle w:val="12"/>
        <w:spacing w:line="360" w:lineRule="auto"/>
        <w:ind w:firstLine="0"/>
        <w:outlineLvl w:val="0"/>
        <w:rPr>
          <w:rFonts w:hAnsi="宋体"/>
          <w:b/>
        </w:rPr>
      </w:pPr>
      <w:r>
        <w:rPr>
          <w:rFonts w:hAnsi="宋体"/>
          <w:szCs w:val="24"/>
        </w:rPr>
        <w:fldChar w:fldCharType="end"/>
      </w: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12"/>
        <w:ind w:firstLine="0"/>
        <w:rPr>
          <w:rFonts w:hAnsi="宋体"/>
          <w:b/>
        </w:rPr>
      </w:pPr>
    </w:p>
    <w:p>
      <w:pPr>
        <w:pStyle w:val="4"/>
        <w:spacing w:line="360" w:lineRule="auto"/>
        <w:rPr>
          <w:rFonts w:hAnsi="宋体"/>
          <w:sz w:val="28"/>
        </w:rPr>
      </w:pPr>
      <w:bookmarkStart w:id="0" w:name="_Toc4342"/>
      <w:r>
        <w:rPr>
          <w:rFonts w:hint="eastAsia" w:hAnsi="宋体"/>
          <w:sz w:val="28"/>
        </w:rPr>
        <w:br w:type="page"/>
      </w:r>
      <w:r>
        <w:rPr>
          <w:rFonts w:hint="eastAsia" w:hAnsi="宋体"/>
          <w:sz w:val="28"/>
        </w:rPr>
        <w:t>第一章</w:t>
      </w:r>
      <w:r>
        <w:rPr>
          <w:rFonts w:hAnsi="宋体"/>
          <w:sz w:val="28"/>
        </w:rPr>
        <w:t xml:space="preserve"> </w:t>
      </w:r>
      <w:r>
        <w:rPr>
          <w:rFonts w:hint="eastAsia" w:hAnsi="宋体"/>
          <w:sz w:val="28"/>
        </w:rPr>
        <w:t>投标邀请</w:t>
      </w:r>
      <w:bookmarkEnd w:id="0"/>
    </w:p>
    <w:p>
      <w:pPr>
        <w:pStyle w:val="5"/>
        <w:spacing w:before="0" w:line="360" w:lineRule="auto"/>
        <w:jc w:val="left"/>
        <w:rPr>
          <w:rFonts w:ascii="Times New Roman" w:hAnsi="Times New Roman" w:eastAsia="宋体"/>
          <w:sz w:val="24"/>
          <w:szCs w:val="24"/>
        </w:rPr>
      </w:pPr>
      <w:bookmarkStart w:id="1" w:name="_Toc35393621"/>
      <w:bookmarkStart w:id="2" w:name="_Toc35393790"/>
      <w:bookmarkStart w:id="3" w:name="_Toc28359079"/>
      <w:bookmarkStart w:id="4" w:name="_Toc28359002"/>
      <w:bookmarkStart w:id="5" w:name="_Toc24346"/>
      <w:bookmarkStart w:id="6" w:name="_Hlk24379207"/>
      <w:r>
        <w:rPr>
          <w:rFonts w:ascii="Times New Roman" w:hAnsi="Times New Roman" w:eastAsia="宋体"/>
          <w:sz w:val="24"/>
          <w:szCs w:val="24"/>
        </w:rPr>
        <w:t>一、项目基本情况</w:t>
      </w:r>
      <w:bookmarkEnd w:id="1"/>
      <w:bookmarkEnd w:id="2"/>
      <w:bookmarkEnd w:id="3"/>
      <w:bookmarkEnd w:id="4"/>
      <w:bookmarkEnd w:id="5"/>
    </w:p>
    <w:p>
      <w:pPr>
        <w:spacing w:line="360" w:lineRule="auto"/>
        <w:ind w:firstLine="480" w:firstLineChars="200"/>
        <w:rPr>
          <w:sz w:val="24"/>
        </w:rPr>
      </w:pPr>
      <w:r>
        <w:rPr>
          <w:sz w:val="24"/>
        </w:rPr>
        <w:t>1.项目编号：</w:t>
      </w:r>
      <w:r>
        <w:rPr>
          <w:rFonts w:hint="eastAsia"/>
          <w:sz w:val="24"/>
          <w:u w:val="single"/>
        </w:rPr>
        <w:t>BIECC-23ZB0295</w:t>
      </w:r>
      <w:bookmarkStart w:id="355" w:name="_GoBack"/>
      <w:bookmarkEnd w:id="355"/>
    </w:p>
    <w:p>
      <w:pPr>
        <w:spacing w:line="360" w:lineRule="auto"/>
        <w:ind w:firstLine="480" w:firstLineChars="200"/>
        <w:rPr>
          <w:sz w:val="24"/>
          <w:u w:val="single"/>
        </w:rPr>
      </w:pPr>
      <w:r>
        <w:rPr>
          <w:sz w:val="24"/>
        </w:rPr>
        <w:t>2.项目名称：</w:t>
      </w:r>
      <w:bookmarkEnd w:id="6"/>
      <w:r>
        <w:rPr>
          <w:rFonts w:hint="eastAsia"/>
          <w:sz w:val="24"/>
          <w:u w:val="single"/>
        </w:rPr>
        <w:t>中国地质大学（北京） 北地一网通办采购项目</w:t>
      </w:r>
    </w:p>
    <w:p>
      <w:pPr>
        <w:spacing w:line="360" w:lineRule="auto"/>
        <w:ind w:firstLine="480" w:firstLineChars="200"/>
        <w:rPr>
          <w:sz w:val="24"/>
        </w:rPr>
      </w:pPr>
      <w:r>
        <w:rPr>
          <w:sz w:val="24"/>
        </w:rPr>
        <w:t>3.项目预算金额：</w:t>
      </w:r>
      <w:r>
        <w:rPr>
          <w:rFonts w:hint="eastAsia"/>
          <w:sz w:val="24"/>
          <w:u w:val="single"/>
        </w:rPr>
        <w:t>180.00</w:t>
      </w:r>
      <w:r>
        <w:rPr>
          <w:sz w:val="24"/>
        </w:rPr>
        <w:t>万元、项目最高限价（如有）：</w:t>
      </w:r>
      <w:r>
        <w:rPr>
          <w:rFonts w:hint="eastAsia"/>
          <w:sz w:val="24"/>
          <w:u w:val="single"/>
        </w:rPr>
        <w:t>180.00</w:t>
      </w:r>
      <w:r>
        <w:rPr>
          <w:sz w:val="24"/>
        </w:rPr>
        <w:t>万元</w:t>
      </w:r>
    </w:p>
    <w:p>
      <w:pPr>
        <w:spacing w:line="360" w:lineRule="auto"/>
        <w:ind w:firstLine="480" w:firstLineChars="200"/>
        <w:rPr>
          <w:sz w:val="24"/>
        </w:rPr>
      </w:pPr>
      <w:r>
        <w:rPr>
          <w:sz w:val="24"/>
        </w:rPr>
        <w:t>4.采购需求：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70"/>
        <w:gridCol w:w="1168"/>
        <w:gridCol w:w="1817"/>
        <w:gridCol w:w="1440"/>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Align w:val="center"/>
          </w:tcPr>
          <w:p>
            <w:pPr>
              <w:jc w:val="center"/>
              <w:rPr>
                <w:bCs/>
                <w:szCs w:val="21"/>
              </w:rPr>
            </w:pPr>
            <w:r>
              <w:rPr>
                <w:bCs/>
                <w:szCs w:val="21"/>
              </w:rPr>
              <w:t>包号</w:t>
            </w:r>
          </w:p>
        </w:tc>
        <w:tc>
          <w:tcPr>
            <w:tcW w:w="1070" w:type="dxa"/>
            <w:vAlign w:val="center"/>
          </w:tcPr>
          <w:p>
            <w:pPr>
              <w:jc w:val="center"/>
              <w:rPr>
                <w:bCs/>
                <w:szCs w:val="21"/>
              </w:rPr>
            </w:pPr>
            <w:r>
              <w:rPr>
                <w:bCs/>
                <w:szCs w:val="21"/>
              </w:rPr>
              <w:t>标的名称</w:t>
            </w:r>
          </w:p>
        </w:tc>
        <w:tc>
          <w:tcPr>
            <w:tcW w:w="1168" w:type="dxa"/>
            <w:vAlign w:val="center"/>
          </w:tcPr>
          <w:p>
            <w:pPr>
              <w:jc w:val="center"/>
              <w:rPr>
                <w:bCs/>
                <w:szCs w:val="21"/>
              </w:rPr>
            </w:pPr>
            <w:r>
              <w:rPr>
                <w:bCs/>
                <w:szCs w:val="21"/>
              </w:rPr>
              <w:t>采购包预算金额</w:t>
            </w:r>
          </w:p>
          <w:p>
            <w:pPr>
              <w:jc w:val="center"/>
              <w:rPr>
                <w:bCs/>
                <w:szCs w:val="21"/>
              </w:rPr>
            </w:pPr>
            <w:r>
              <w:rPr>
                <w:bCs/>
                <w:szCs w:val="21"/>
              </w:rPr>
              <w:t>（万元）</w:t>
            </w:r>
          </w:p>
        </w:tc>
        <w:tc>
          <w:tcPr>
            <w:tcW w:w="1817" w:type="dxa"/>
            <w:vAlign w:val="center"/>
          </w:tcPr>
          <w:p>
            <w:pPr>
              <w:jc w:val="center"/>
              <w:rPr>
                <w:bCs/>
                <w:szCs w:val="21"/>
              </w:rPr>
            </w:pPr>
            <w:r>
              <w:rPr>
                <w:bCs/>
                <w:szCs w:val="21"/>
              </w:rPr>
              <w:t>数量</w:t>
            </w:r>
          </w:p>
        </w:tc>
        <w:tc>
          <w:tcPr>
            <w:tcW w:w="1440" w:type="dxa"/>
            <w:vAlign w:val="center"/>
          </w:tcPr>
          <w:p>
            <w:pPr>
              <w:jc w:val="center"/>
              <w:rPr>
                <w:bCs/>
                <w:szCs w:val="21"/>
              </w:rPr>
            </w:pPr>
            <w:r>
              <w:rPr>
                <w:rFonts w:hint="eastAsia"/>
                <w:bCs/>
                <w:szCs w:val="21"/>
              </w:rPr>
              <w:t>是否接受进口产品投标</w:t>
            </w:r>
          </w:p>
        </w:tc>
        <w:tc>
          <w:tcPr>
            <w:tcW w:w="3307" w:type="dxa"/>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0" w:type="dxa"/>
            <w:vAlign w:val="center"/>
          </w:tcPr>
          <w:p>
            <w:pPr>
              <w:jc w:val="center"/>
              <w:rPr>
                <w:bCs/>
                <w:szCs w:val="21"/>
              </w:rPr>
            </w:pPr>
            <w:r>
              <w:rPr>
                <w:bCs/>
                <w:szCs w:val="21"/>
              </w:rPr>
              <w:t>01</w:t>
            </w:r>
          </w:p>
        </w:tc>
        <w:tc>
          <w:tcPr>
            <w:tcW w:w="1070" w:type="dxa"/>
            <w:vAlign w:val="center"/>
          </w:tcPr>
          <w:p>
            <w:pPr>
              <w:jc w:val="center"/>
              <w:rPr>
                <w:bCs/>
                <w:szCs w:val="21"/>
              </w:rPr>
            </w:pPr>
            <w:r>
              <w:rPr>
                <w:rFonts w:hint="eastAsia"/>
                <w:bCs/>
                <w:szCs w:val="21"/>
              </w:rPr>
              <w:t>一网通办系统建设</w:t>
            </w:r>
          </w:p>
        </w:tc>
        <w:tc>
          <w:tcPr>
            <w:tcW w:w="1168" w:type="dxa"/>
            <w:vAlign w:val="center"/>
          </w:tcPr>
          <w:p>
            <w:pPr>
              <w:jc w:val="center"/>
              <w:rPr>
                <w:bCs/>
                <w:szCs w:val="21"/>
              </w:rPr>
            </w:pPr>
            <w:r>
              <w:rPr>
                <w:rFonts w:hint="eastAsia"/>
                <w:bCs/>
                <w:szCs w:val="21"/>
              </w:rPr>
              <w:t>180.00</w:t>
            </w:r>
          </w:p>
        </w:tc>
        <w:tc>
          <w:tcPr>
            <w:tcW w:w="1817" w:type="dxa"/>
            <w:vAlign w:val="center"/>
          </w:tcPr>
          <w:p>
            <w:pPr>
              <w:jc w:val="center"/>
              <w:rPr>
                <w:bCs/>
                <w:szCs w:val="21"/>
              </w:rPr>
            </w:pPr>
            <w:r>
              <w:rPr>
                <w:rFonts w:hint="eastAsia"/>
                <w:bCs/>
                <w:szCs w:val="21"/>
              </w:rPr>
              <w:t>1套</w:t>
            </w:r>
          </w:p>
        </w:tc>
        <w:tc>
          <w:tcPr>
            <w:tcW w:w="1440" w:type="dxa"/>
            <w:vAlign w:val="center"/>
          </w:tcPr>
          <w:p>
            <w:pPr>
              <w:jc w:val="center"/>
              <w:rPr>
                <w:bCs/>
                <w:szCs w:val="21"/>
              </w:rPr>
            </w:pPr>
            <w:r>
              <w:rPr>
                <w:rFonts w:hint="eastAsia"/>
                <w:bCs/>
                <w:szCs w:val="21"/>
              </w:rPr>
              <w:t>否</w:t>
            </w:r>
          </w:p>
        </w:tc>
        <w:tc>
          <w:tcPr>
            <w:tcW w:w="3307" w:type="dxa"/>
            <w:vAlign w:val="center"/>
          </w:tcPr>
          <w:p>
            <w:pPr>
              <w:jc w:val="center"/>
              <w:rPr>
                <w:kern w:val="0"/>
                <w:szCs w:val="21"/>
              </w:rPr>
            </w:pPr>
            <w:r>
              <w:rPr>
                <w:rFonts w:hint="eastAsia" w:ascii="宋体" w:hAnsi="宋体"/>
                <w:szCs w:val="21"/>
              </w:rPr>
              <w:t>升级网上办事大厅、构建教师一张表、建设融合信息门户、升级“掌上北地”移动门户</w:t>
            </w:r>
            <w:r>
              <w:rPr>
                <w:rFonts w:hint="eastAsia"/>
                <w:bCs/>
                <w:szCs w:val="21"/>
              </w:rPr>
              <w:t>……</w:t>
            </w:r>
          </w:p>
        </w:tc>
      </w:tr>
    </w:tbl>
    <w:p>
      <w:pPr>
        <w:spacing w:line="360" w:lineRule="auto"/>
        <w:ind w:firstLine="480" w:firstLineChars="200"/>
        <w:rPr>
          <w:sz w:val="24"/>
          <w:u w:val="single"/>
        </w:rPr>
      </w:pPr>
      <w:r>
        <w:rPr>
          <w:sz w:val="24"/>
        </w:rPr>
        <w:t>5.合同履行期限：___</w:t>
      </w:r>
      <w:r>
        <w:rPr>
          <w:rFonts w:hint="eastAsia"/>
          <w:sz w:val="24"/>
          <w:u w:val="single"/>
        </w:rPr>
        <w:t>按合同约定时间完成开发交付</w:t>
      </w:r>
      <w:r>
        <w:rPr>
          <w:sz w:val="24"/>
        </w:rPr>
        <w:t>______________</w:t>
      </w:r>
    </w:p>
    <w:p>
      <w:pPr>
        <w:spacing w:line="360" w:lineRule="auto"/>
        <w:ind w:firstLine="480" w:firstLineChars="200"/>
        <w:rPr>
          <w:sz w:val="24"/>
        </w:rPr>
      </w:pPr>
      <w:r>
        <w:rPr>
          <w:sz w:val="24"/>
        </w:rPr>
        <w:t xml:space="preserve">6.本项目是否接受联合体投标：□是  </w:t>
      </w:r>
      <w:r>
        <w:rPr>
          <w:rFonts w:hint="eastAsia"/>
          <w:sz w:val="15"/>
        </w:rPr>
        <w:t>■</w:t>
      </w:r>
      <w:r>
        <w:rPr>
          <w:sz w:val="24"/>
        </w:rPr>
        <w:t>否。</w:t>
      </w:r>
    </w:p>
    <w:p>
      <w:pPr>
        <w:spacing w:line="360" w:lineRule="auto"/>
        <w:ind w:firstLine="480" w:firstLineChars="200"/>
        <w:rPr>
          <w:sz w:val="24"/>
        </w:rPr>
      </w:pPr>
    </w:p>
    <w:p>
      <w:pPr>
        <w:pStyle w:val="5"/>
        <w:spacing w:before="0" w:line="360" w:lineRule="auto"/>
        <w:jc w:val="left"/>
        <w:rPr>
          <w:rFonts w:ascii="Times New Roman" w:hAnsi="Times New Roman" w:eastAsia="宋体"/>
          <w:sz w:val="24"/>
          <w:szCs w:val="24"/>
        </w:rPr>
      </w:pPr>
      <w:bookmarkStart w:id="7" w:name="_Toc25237"/>
      <w:bookmarkStart w:id="8" w:name="_Toc28359080"/>
      <w:bookmarkStart w:id="9" w:name="_Toc35393622"/>
      <w:bookmarkStart w:id="10" w:name="_Toc28359003"/>
      <w:bookmarkStart w:id="11" w:name="_Toc35393791"/>
      <w:r>
        <w:rPr>
          <w:rFonts w:ascii="Times New Roman" w:hAnsi="Times New Roman" w:eastAsia="宋体"/>
          <w:sz w:val="24"/>
          <w:szCs w:val="24"/>
        </w:rPr>
        <w:t>二、申请人的资格要求（须同时满足）</w:t>
      </w:r>
      <w:bookmarkEnd w:id="7"/>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81"/>
      <w:bookmarkStart w:id="13"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sz w:val="24"/>
        </w:rPr>
        <w:t>□本项目不专门面向中小企业预留采购份额。</w:t>
      </w:r>
    </w:p>
    <w:p>
      <w:pPr>
        <w:spacing w:line="360" w:lineRule="auto"/>
        <w:ind w:firstLine="450" w:firstLineChars="300"/>
        <w:rPr>
          <w:sz w:val="24"/>
        </w:rPr>
      </w:pPr>
      <w:r>
        <w:rPr>
          <w:rFonts w:hint="eastAsia"/>
          <w:sz w:val="15"/>
        </w:rPr>
        <w:t>■</w:t>
      </w:r>
      <w:r>
        <w:rPr>
          <w:sz w:val="24"/>
        </w:rPr>
        <w:t xml:space="preserve">本项目专门面向  □中小 </w:t>
      </w:r>
      <w:r>
        <w:rPr>
          <w:rFonts w:hint="eastAsia"/>
          <w:sz w:val="15"/>
        </w:rPr>
        <w:t>■</w:t>
      </w:r>
      <w:r>
        <w:rPr>
          <w:sz w:val="24"/>
        </w:rPr>
        <w:t>小微企业采购。即服务全部由符合政策要求的小微企业承接。</w:t>
      </w:r>
    </w:p>
    <w:p>
      <w:pPr>
        <w:spacing w:line="360" w:lineRule="auto"/>
        <w:ind w:firstLine="480" w:firstLineChars="200"/>
        <w:rPr>
          <w:sz w:val="24"/>
        </w:rPr>
      </w:pPr>
      <w:r>
        <w:rPr>
          <w:sz w:val="24"/>
        </w:rPr>
        <w:t>□本项目预留部分采购项目预算专门面向中小</w:t>
      </w:r>
      <w:r>
        <w:rPr>
          <w:rFonts w:hint="eastAsia"/>
          <w:sz w:val="24"/>
        </w:rPr>
        <w:t>/小微</w:t>
      </w:r>
      <w:r>
        <w:rPr>
          <w:sz w:val="24"/>
        </w:rPr>
        <w:t>企业采购。对于预留份额，提供的货物由符合政策要求的中小</w:t>
      </w:r>
      <w:r>
        <w:rPr>
          <w:rFonts w:hint="eastAsia"/>
          <w:sz w:val="24"/>
        </w:rPr>
        <w:t>/小微</w:t>
      </w:r>
      <w:r>
        <w:rPr>
          <w:sz w:val="24"/>
        </w:rPr>
        <w:t>企业制造、服务由符合政策要求的中小</w:t>
      </w:r>
      <w:r>
        <w:rPr>
          <w:rFonts w:hint="eastAsia"/>
          <w:sz w:val="24"/>
        </w:rPr>
        <w:t>/小微</w:t>
      </w:r>
      <w:r>
        <w:rPr>
          <w:sz w:val="24"/>
        </w:rPr>
        <w:t>企业承接。预留份额通过以下措施进行：__________________</w:t>
      </w:r>
      <w:r>
        <w:rPr>
          <w:rFonts w:hint="eastAsia"/>
          <w:sz w:val="24"/>
        </w:rPr>
        <w:t>。</w:t>
      </w:r>
    </w:p>
    <w:p>
      <w:pPr>
        <w:tabs>
          <w:tab w:val="left" w:pos="900"/>
          <w:tab w:val="left" w:pos="1134"/>
          <w:tab w:val="left" w:pos="1589"/>
          <w:tab w:val="left" w:pos="5521"/>
        </w:tabs>
        <w:snapToGrid w:val="0"/>
        <w:spacing w:line="360" w:lineRule="auto"/>
        <w:ind w:firstLine="480" w:firstLineChars="200"/>
        <w:rPr>
          <w:sz w:val="24"/>
        </w:rPr>
      </w:pPr>
      <w:r>
        <w:rPr>
          <w:sz w:val="24"/>
        </w:rPr>
        <w:t>2.2 其它落实采购政策的资格要求（如有）：_</w:t>
      </w:r>
      <w:r>
        <w:rPr>
          <w:rFonts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 xml:space="preserve">3.1本项目是否接受分支机构参与投标：□是   </w:t>
      </w:r>
      <w:r>
        <w:rPr>
          <w:rFonts w:hint="eastAsia"/>
          <w:sz w:val="15"/>
        </w:rPr>
        <w:t>■</w:t>
      </w: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p>
    <w:p>
      <w:pPr>
        <w:tabs>
          <w:tab w:val="left" w:pos="900"/>
          <w:tab w:val="left" w:pos="1134"/>
          <w:tab w:val="left" w:pos="1589"/>
          <w:tab w:val="left" w:pos="5521"/>
        </w:tabs>
        <w:snapToGrid w:val="0"/>
        <w:spacing w:line="360" w:lineRule="auto"/>
        <w:ind w:firstLine="480" w:firstLineChars="200"/>
        <w:rPr>
          <w:sz w:val="24"/>
          <w:u w:val="single"/>
        </w:rPr>
      </w:pPr>
      <w:r>
        <w:rPr>
          <w:rFonts w:hint="eastAsia"/>
          <w:sz w:val="24"/>
          <w:u w:val="single"/>
        </w:rPr>
        <w:t>（1）单位负责人为同一人或者存在直接控股、管理关系的不同供应商，不得同时参加同一合同项下的采购活动；为本项目提供整体设计、规范编制或者项目管理、监理、检测等服务的供应商，不得再参加本项目的其他采购活动。本项目的采购代理机构及其分支机构不得参加本项目的投标或者代理投标；</w:t>
      </w:r>
    </w:p>
    <w:p>
      <w:pPr>
        <w:tabs>
          <w:tab w:val="left" w:pos="900"/>
          <w:tab w:val="left" w:pos="1134"/>
          <w:tab w:val="left" w:pos="1589"/>
          <w:tab w:val="left" w:pos="5521"/>
        </w:tabs>
        <w:snapToGrid w:val="0"/>
        <w:spacing w:line="360" w:lineRule="auto"/>
        <w:ind w:firstLine="480" w:firstLineChars="200"/>
        <w:rPr>
          <w:sz w:val="24"/>
        </w:rPr>
      </w:pPr>
      <w:r>
        <w:rPr>
          <w:rFonts w:hint="eastAsia"/>
          <w:sz w:val="24"/>
          <w:u w:val="single"/>
        </w:rPr>
        <w:t>（2）应按招标公告的规定获取招标文件</w:t>
      </w:r>
      <w:r>
        <w:rPr>
          <w:sz w:val="24"/>
        </w:rPr>
        <w:t>。</w:t>
      </w:r>
    </w:p>
    <w:p>
      <w:pPr>
        <w:pStyle w:val="2"/>
      </w:pPr>
    </w:p>
    <w:bookmarkEnd w:id="12"/>
    <w:bookmarkEnd w:id="13"/>
    <w:p>
      <w:pPr>
        <w:pStyle w:val="5"/>
        <w:widowControl/>
        <w:spacing w:before="0" w:line="360" w:lineRule="auto"/>
        <w:jc w:val="left"/>
        <w:rPr>
          <w:rFonts w:ascii="Times New Roman" w:hAnsi="Times New Roman" w:eastAsia="宋体"/>
          <w:sz w:val="24"/>
          <w:szCs w:val="24"/>
        </w:rPr>
      </w:pPr>
      <w:bookmarkStart w:id="14" w:name="_Toc35393792"/>
      <w:bookmarkStart w:id="15" w:name="_Toc35393623"/>
      <w:bookmarkStart w:id="16" w:name="_Toc23903"/>
      <w:r>
        <w:rPr>
          <w:rFonts w:ascii="Times New Roman" w:hAnsi="Times New Roman" w:eastAsia="宋体"/>
          <w:sz w:val="24"/>
          <w:szCs w:val="24"/>
        </w:rPr>
        <w:t>三、获取招标文件</w:t>
      </w:r>
      <w:bookmarkEnd w:id="14"/>
      <w:bookmarkEnd w:id="15"/>
      <w:bookmarkEnd w:id="16"/>
    </w:p>
    <w:p>
      <w:pPr>
        <w:adjustRightInd w:val="0"/>
        <w:snapToGrid w:val="0"/>
        <w:spacing w:line="360" w:lineRule="auto"/>
        <w:ind w:firstLine="480" w:firstLineChars="200"/>
        <w:rPr>
          <w:sz w:val="24"/>
          <w:lang w:bidi="ar"/>
        </w:rPr>
      </w:pPr>
      <w:r>
        <w:rPr>
          <w:sz w:val="24"/>
          <w:lang w:bidi="ar"/>
        </w:rPr>
        <w:t>1.时间：</w:t>
      </w:r>
      <w:r>
        <w:rPr>
          <w:rFonts w:hint="eastAsia"/>
          <w:sz w:val="24"/>
          <w:u w:val="single"/>
          <w:lang w:bidi="ar"/>
        </w:rPr>
        <w:t>2023</w:t>
      </w:r>
      <w:r>
        <w:rPr>
          <w:sz w:val="24"/>
          <w:lang w:bidi="ar"/>
        </w:rPr>
        <w:t>年</w:t>
      </w:r>
      <w:r>
        <w:rPr>
          <w:rFonts w:hint="eastAsia"/>
          <w:sz w:val="24"/>
          <w:u w:val="single"/>
          <w:lang w:bidi="ar"/>
        </w:rPr>
        <w:t>7</w:t>
      </w:r>
      <w:r>
        <w:rPr>
          <w:sz w:val="24"/>
          <w:lang w:bidi="ar"/>
        </w:rPr>
        <w:t>月</w:t>
      </w:r>
      <w:r>
        <w:rPr>
          <w:rFonts w:hint="eastAsia"/>
          <w:sz w:val="24"/>
          <w:u w:val="single"/>
          <w:lang w:bidi="ar"/>
        </w:rPr>
        <w:t xml:space="preserve"> </w:t>
      </w:r>
      <w:r>
        <w:rPr>
          <w:rFonts w:hint="eastAsia"/>
          <w:sz w:val="24"/>
          <w:u w:val="single"/>
          <w:lang w:val="en-US" w:eastAsia="zh-CN" w:bidi="ar"/>
        </w:rPr>
        <w:t>6</w:t>
      </w:r>
      <w:r>
        <w:rPr>
          <w:rFonts w:hint="eastAsia"/>
          <w:sz w:val="24"/>
          <w:u w:val="single"/>
          <w:lang w:bidi="ar"/>
        </w:rPr>
        <w:t xml:space="preserve"> </w:t>
      </w:r>
      <w:r>
        <w:rPr>
          <w:sz w:val="24"/>
          <w:lang w:bidi="ar"/>
        </w:rPr>
        <w:t>日至</w:t>
      </w:r>
      <w:r>
        <w:rPr>
          <w:rFonts w:hint="eastAsia"/>
          <w:sz w:val="24"/>
          <w:u w:val="single"/>
          <w:lang w:bidi="ar"/>
        </w:rPr>
        <w:t>2023</w:t>
      </w:r>
      <w:r>
        <w:rPr>
          <w:sz w:val="24"/>
          <w:lang w:bidi="ar"/>
        </w:rPr>
        <w:t>年</w:t>
      </w:r>
      <w:r>
        <w:rPr>
          <w:rFonts w:hint="eastAsia"/>
          <w:sz w:val="24"/>
          <w:u w:val="single"/>
          <w:lang w:bidi="ar"/>
        </w:rPr>
        <w:t>7</w:t>
      </w:r>
      <w:r>
        <w:rPr>
          <w:sz w:val="24"/>
          <w:lang w:bidi="ar"/>
        </w:rPr>
        <w:t>月</w:t>
      </w:r>
      <w:r>
        <w:rPr>
          <w:rFonts w:hint="eastAsia"/>
          <w:sz w:val="24"/>
          <w:u w:val="single"/>
          <w:lang w:bidi="ar"/>
        </w:rPr>
        <w:t xml:space="preserve"> </w:t>
      </w:r>
      <w:r>
        <w:rPr>
          <w:rFonts w:hint="eastAsia"/>
          <w:sz w:val="24"/>
          <w:u w:val="single"/>
          <w:lang w:val="en-US" w:eastAsia="zh-CN" w:bidi="ar"/>
        </w:rPr>
        <w:t>13</w:t>
      </w:r>
      <w:r>
        <w:rPr>
          <w:rFonts w:hint="eastAsia"/>
          <w:sz w:val="24"/>
          <w:u w:val="single"/>
          <w:lang w:bidi="ar"/>
        </w:rPr>
        <w:t xml:space="preserve"> </w:t>
      </w:r>
      <w:r>
        <w:rPr>
          <w:sz w:val="24"/>
          <w:lang w:bidi="ar"/>
        </w:rPr>
        <w:t>日，每天上午</w:t>
      </w:r>
      <w:r>
        <w:rPr>
          <w:rFonts w:hint="eastAsia"/>
          <w:sz w:val="24"/>
          <w:u w:val="single"/>
          <w:lang w:bidi="ar"/>
        </w:rPr>
        <w:t>9:00</w:t>
      </w:r>
      <w:r>
        <w:rPr>
          <w:sz w:val="24"/>
          <w:lang w:bidi="ar"/>
        </w:rPr>
        <w:t>至</w:t>
      </w:r>
      <w:r>
        <w:rPr>
          <w:rFonts w:hint="eastAsia"/>
          <w:sz w:val="24"/>
          <w:u w:val="single"/>
          <w:lang w:bidi="ar"/>
        </w:rPr>
        <w:t>11:30</w:t>
      </w:r>
      <w:r>
        <w:rPr>
          <w:sz w:val="24"/>
          <w:lang w:bidi="ar"/>
        </w:rPr>
        <w:t>，下午</w:t>
      </w:r>
      <w:r>
        <w:rPr>
          <w:rFonts w:hint="eastAsia"/>
          <w:sz w:val="24"/>
          <w:u w:val="single"/>
          <w:lang w:bidi="ar"/>
        </w:rPr>
        <w:t>13:00</w:t>
      </w:r>
      <w:r>
        <w:rPr>
          <w:sz w:val="24"/>
          <w:lang w:bidi="ar"/>
        </w:rPr>
        <w:t>至</w:t>
      </w:r>
      <w:r>
        <w:rPr>
          <w:rFonts w:hint="eastAsia"/>
          <w:sz w:val="24"/>
          <w:u w:val="single"/>
          <w:lang w:bidi="ar"/>
        </w:rPr>
        <w:t>17:00</w:t>
      </w:r>
      <w:r>
        <w:rPr>
          <w:sz w:val="24"/>
          <w:lang w:bidi="ar"/>
        </w:rPr>
        <w:t>（北京时间，法定节假日除外）。</w:t>
      </w:r>
    </w:p>
    <w:p>
      <w:pPr>
        <w:adjustRightInd w:val="0"/>
        <w:snapToGrid w:val="0"/>
        <w:spacing w:line="360" w:lineRule="auto"/>
        <w:ind w:firstLine="480" w:firstLineChars="200"/>
        <w:rPr>
          <w:sz w:val="24"/>
          <w:lang w:bidi="ar"/>
        </w:rPr>
      </w:pPr>
      <w:r>
        <w:rPr>
          <w:sz w:val="24"/>
          <w:lang w:bidi="ar"/>
        </w:rPr>
        <w:t>2.地点：</w:t>
      </w:r>
      <w:r>
        <w:rPr>
          <w:rFonts w:hint="eastAsia"/>
          <w:sz w:val="24"/>
          <w:lang w:bidi="ar"/>
        </w:rPr>
        <w:t>北京市海淀区学院路30号科大天工大厦B座1703。</w:t>
      </w:r>
    </w:p>
    <w:p>
      <w:pPr>
        <w:adjustRightInd w:val="0"/>
        <w:snapToGrid w:val="0"/>
        <w:spacing w:line="360" w:lineRule="auto"/>
        <w:ind w:firstLine="480" w:firstLineChars="200"/>
        <w:rPr>
          <w:sz w:val="24"/>
          <w:lang w:bidi="ar"/>
        </w:rPr>
      </w:pPr>
      <w:r>
        <w:rPr>
          <w:sz w:val="24"/>
          <w:lang w:bidi="ar"/>
        </w:rPr>
        <w:t>3.方式：</w:t>
      </w:r>
    </w:p>
    <w:p>
      <w:pPr>
        <w:spacing w:line="360" w:lineRule="auto"/>
        <w:ind w:firstLine="480" w:firstLineChars="200"/>
        <w:jc w:val="left"/>
        <w:rPr>
          <w:rFonts w:ascii="仿宋" w:hAnsi="仿宋" w:eastAsia="仿宋" w:cs="宋体"/>
          <w:sz w:val="24"/>
        </w:rPr>
      </w:pPr>
      <w:r>
        <w:rPr>
          <w:rFonts w:hint="eastAsia"/>
          <w:sz w:val="24"/>
          <w:lang w:bidi="ar"/>
        </w:rPr>
        <w:t>（1）汇款获取。供应商汇款后，请将汇款单复印件及以下表格内容发邮件至jowena@163.com，邮件主题请统一填写为：“获取文件信息+项目编号”。在获取文件截止时间前，汇款没有到账或未收到获取文件的项目编号及包号、购买单位名称、详细通讯地址、电话、传真及联系人等相关信息的，没有资格参加项目投标。</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项目编号</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包号</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单位名称</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纳税人识别号</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详细通讯地址</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传真</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联系人</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联系电话</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sz w:val="24"/>
          <w:lang w:bidi="ar"/>
        </w:rPr>
        <w:t>（2）招标</w:t>
      </w:r>
      <w:r>
        <w:rPr>
          <w:rFonts w:hint="eastAsia" w:ascii="宋体" w:hAnsi="宋体" w:cs="宋体"/>
          <w:sz w:val="24"/>
        </w:rPr>
        <w:t>文件售后不退。（</w:t>
      </w:r>
      <w:r>
        <w:rPr>
          <w:rFonts w:hint="eastAsia" w:ascii="宋体" w:hAnsi="宋体" w:cs="宋体"/>
          <w:sz w:val="24"/>
          <w:u w:val="single"/>
        </w:rPr>
        <w:t>电子文档下载请登陆</w:t>
      </w:r>
      <w:r>
        <w:fldChar w:fldCharType="begin"/>
      </w:r>
      <w:r>
        <w:instrText xml:space="preserve"> HYPERLINK "http://www.biecc.com.cn，进入主页后点击" </w:instrText>
      </w:r>
      <w:r>
        <w:fldChar w:fldCharType="separate"/>
      </w:r>
      <w:r>
        <w:rPr>
          <w:rStyle w:val="41"/>
          <w:rFonts w:cs="宋体"/>
          <w:color w:val="auto"/>
          <w:sz w:val="24"/>
        </w:rPr>
        <w:t>www.biecc.com.cn，进入主页后点击</w:t>
      </w:r>
      <w:r>
        <w:rPr>
          <w:rStyle w:val="41"/>
          <w:rFonts w:cs="宋体"/>
          <w:color w:val="auto"/>
          <w:sz w:val="24"/>
        </w:rPr>
        <w:fldChar w:fldCharType="end"/>
      </w:r>
      <w:r>
        <w:rPr>
          <w:rStyle w:val="41"/>
          <w:rFonts w:hint="eastAsia" w:cs="宋体"/>
          <w:color w:val="auto"/>
          <w:sz w:val="24"/>
        </w:rPr>
        <w:t>招标代理-</w:t>
      </w:r>
      <w:r>
        <w:rPr>
          <w:rFonts w:hint="eastAsia" w:ascii="宋体" w:hAnsi="宋体" w:cs="宋体"/>
          <w:sz w:val="24"/>
          <w:u w:val="single"/>
        </w:rPr>
        <w:t>标书下载</w:t>
      </w:r>
      <w:r>
        <w:rPr>
          <w:rFonts w:hint="eastAsia" w:ascii="宋体" w:hAnsi="宋体" w:cs="宋体"/>
          <w:sz w:val="24"/>
        </w:rPr>
        <w:t>）。</w:t>
      </w:r>
    </w:p>
    <w:p>
      <w:pPr>
        <w:adjustRightInd w:val="0"/>
        <w:snapToGrid w:val="0"/>
        <w:spacing w:line="360" w:lineRule="auto"/>
        <w:ind w:firstLine="480" w:firstLineChars="200"/>
        <w:rPr>
          <w:sz w:val="24"/>
          <w:lang w:bidi="ar"/>
        </w:rPr>
      </w:pPr>
      <w:r>
        <w:rPr>
          <w:rFonts w:hint="eastAsia"/>
          <w:sz w:val="24"/>
          <w:lang w:bidi="ar"/>
        </w:rPr>
        <w:t xml:space="preserve"> </w:t>
      </w:r>
      <w:r>
        <w:rPr>
          <w:sz w:val="24"/>
          <w:lang w:bidi="ar"/>
        </w:rPr>
        <w:t>4.售价：</w:t>
      </w:r>
      <w:r>
        <w:rPr>
          <w:rFonts w:hint="eastAsia"/>
          <w:sz w:val="24"/>
          <w:u w:val="single"/>
          <w:lang w:bidi="ar"/>
        </w:rPr>
        <w:t xml:space="preserve"> 500 </w:t>
      </w:r>
      <w:r>
        <w:rPr>
          <w:sz w:val="24"/>
          <w:lang w:bidi="ar"/>
        </w:rPr>
        <w:t>元</w:t>
      </w:r>
      <w:r>
        <w:rPr>
          <w:rFonts w:hint="eastAsia"/>
          <w:sz w:val="24"/>
          <w:lang w:bidi="ar"/>
        </w:rPr>
        <w:t>（/包）</w:t>
      </w:r>
      <w:r>
        <w:rPr>
          <w:sz w:val="24"/>
          <w:lang w:bidi="ar"/>
        </w:rPr>
        <w:t>。</w:t>
      </w:r>
    </w:p>
    <w:p>
      <w:pPr>
        <w:pStyle w:val="25"/>
      </w:pPr>
    </w:p>
    <w:p>
      <w:pPr>
        <w:pStyle w:val="5"/>
        <w:widowControl/>
        <w:spacing w:before="0" w:line="360" w:lineRule="auto"/>
        <w:jc w:val="left"/>
        <w:rPr>
          <w:rFonts w:ascii="Times New Roman" w:hAnsi="Times New Roman" w:eastAsia="宋体"/>
          <w:sz w:val="24"/>
          <w:szCs w:val="24"/>
        </w:rPr>
      </w:pPr>
      <w:bookmarkStart w:id="17" w:name="_Toc28359082"/>
      <w:bookmarkStart w:id="18" w:name="_Toc28359005"/>
      <w:bookmarkStart w:id="19" w:name="_Toc35393793"/>
      <w:bookmarkStart w:id="20" w:name="_Toc12417"/>
      <w:bookmarkStart w:id="21" w:name="_Toc35393624"/>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bookmarkEnd w:id="21"/>
    </w:p>
    <w:p>
      <w:pPr>
        <w:spacing w:line="360" w:lineRule="auto"/>
        <w:ind w:firstLine="480" w:firstLineChars="200"/>
        <w:rPr>
          <w:bCs/>
          <w:sz w:val="24"/>
          <w:u w:val="single"/>
        </w:rPr>
      </w:pPr>
      <w:r>
        <w:rPr>
          <w:sz w:val="24"/>
          <w:lang w:bidi="ar"/>
        </w:rPr>
        <w:t>投标截止时间、开标时间：</w:t>
      </w:r>
      <w:r>
        <w:rPr>
          <w:rFonts w:hint="eastAsia"/>
          <w:sz w:val="24"/>
          <w:u w:val="single"/>
          <w:lang w:bidi="ar"/>
        </w:rPr>
        <w:t>2023</w:t>
      </w:r>
      <w:r>
        <w:rPr>
          <w:sz w:val="24"/>
          <w:lang w:bidi="ar"/>
        </w:rPr>
        <w:t>_年</w:t>
      </w:r>
      <w:r>
        <w:rPr>
          <w:rFonts w:hint="eastAsia"/>
          <w:sz w:val="24"/>
          <w:u w:val="single"/>
          <w:lang w:bidi="ar"/>
        </w:rPr>
        <w:t>7</w:t>
      </w:r>
      <w:r>
        <w:rPr>
          <w:sz w:val="24"/>
          <w:lang w:bidi="ar"/>
        </w:rPr>
        <w:t>月</w:t>
      </w:r>
      <w:r>
        <w:rPr>
          <w:rFonts w:hint="eastAsia"/>
          <w:sz w:val="24"/>
          <w:u w:val="single"/>
          <w:lang w:val="en-US" w:eastAsia="zh-CN" w:bidi="ar"/>
        </w:rPr>
        <w:t>27</w:t>
      </w:r>
      <w:r>
        <w:rPr>
          <w:sz w:val="24"/>
          <w:lang w:bidi="ar"/>
        </w:rPr>
        <w:t>日</w:t>
      </w:r>
      <w:r>
        <w:rPr>
          <w:rFonts w:hint="eastAsia"/>
          <w:sz w:val="24"/>
          <w:u w:val="single"/>
          <w:lang w:val="en-US" w:eastAsia="zh-CN" w:bidi="ar"/>
        </w:rPr>
        <w:t>09</w:t>
      </w:r>
      <w:r>
        <w:rPr>
          <w:sz w:val="24"/>
          <w:lang w:bidi="ar"/>
        </w:rPr>
        <w:t>点</w:t>
      </w:r>
      <w:r>
        <w:rPr>
          <w:rFonts w:hint="eastAsia"/>
          <w:sz w:val="24"/>
          <w:u w:val="single"/>
          <w:lang w:bidi="ar"/>
        </w:rPr>
        <w:t>30</w:t>
      </w:r>
      <w:r>
        <w:rPr>
          <w:sz w:val="24"/>
          <w:lang w:bidi="ar"/>
        </w:rPr>
        <w:t>_分</w:t>
      </w:r>
      <w:r>
        <w:rPr>
          <w:bCs/>
          <w:sz w:val="24"/>
          <w:lang w:bidi="ar"/>
        </w:rPr>
        <w:t>（北京时间）</w:t>
      </w:r>
      <w:r>
        <w:rPr>
          <w:iCs/>
          <w:sz w:val="24"/>
          <w:lang w:bidi="ar"/>
        </w:rPr>
        <w:t>。</w:t>
      </w:r>
    </w:p>
    <w:p>
      <w:pPr>
        <w:spacing w:line="360" w:lineRule="auto"/>
        <w:ind w:firstLine="480" w:firstLineChars="200"/>
        <w:rPr>
          <w:sz w:val="24"/>
          <w:lang w:val="zh-TW" w:bidi="ar"/>
        </w:rPr>
      </w:pPr>
      <w:r>
        <w:rPr>
          <w:sz w:val="24"/>
          <w:lang w:bidi="ar"/>
        </w:rPr>
        <w:t>地点</w:t>
      </w:r>
      <w:r>
        <w:rPr>
          <w:rFonts w:hint="eastAsia"/>
          <w:sz w:val="24"/>
          <w:u w:val="single"/>
          <w:lang w:bidi="ar"/>
        </w:rPr>
        <w:t>北京市海淀区学院路30号科大天工大厦A座六层616会议室</w:t>
      </w:r>
      <w:r>
        <w:rPr>
          <w:sz w:val="24"/>
          <w:lang w:val="zh-TW" w:bidi="ar"/>
        </w:rPr>
        <w:t>。</w:t>
      </w:r>
    </w:p>
    <w:p>
      <w:pPr>
        <w:pStyle w:val="25"/>
        <w:rPr>
          <w:lang w:val="zh-TW"/>
        </w:rPr>
      </w:pPr>
    </w:p>
    <w:p>
      <w:pPr>
        <w:pStyle w:val="5"/>
        <w:spacing w:before="0" w:line="360" w:lineRule="auto"/>
        <w:jc w:val="left"/>
        <w:rPr>
          <w:rFonts w:ascii="Times New Roman" w:hAnsi="Times New Roman" w:eastAsia="宋体"/>
          <w:sz w:val="24"/>
          <w:szCs w:val="24"/>
        </w:rPr>
      </w:pPr>
      <w:bookmarkStart w:id="22" w:name="_Toc13071"/>
      <w:bookmarkStart w:id="23" w:name="_Toc28359007"/>
      <w:bookmarkStart w:id="24" w:name="_Toc35393625"/>
      <w:bookmarkStart w:id="25" w:name="_Toc28359084"/>
      <w:bookmarkStart w:id="26" w:name="_Toc35393794"/>
      <w:r>
        <w:rPr>
          <w:rFonts w:ascii="Times New Roman" w:hAnsi="Times New Roman" w:eastAsia="宋体"/>
          <w:sz w:val="24"/>
          <w:szCs w:val="24"/>
        </w:rPr>
        <w:t>五、公告期限</w:t>
      </w:r>
      <w:bookmarkEnd w:id="22"/>
      <w:bookmarkEnd w:id="23"/>
      <w:bookmarkEnd w:id="24"/>
      <w:bookmarkEnd w:id="25"/>
      <w:bookmarkEnd w:id="26"/>
    </w:p>
    <w:p>
      <w:pPr>
        <w:spacing w:line="360" w:lineRule="auto"/>
        <w:ind w:firstLine="480" w:firstLineChars="200"/>
        <w:rPr>
          <w:kern w:val="0"/>
          <w:sz w:val="24"/>
        </w:rPr>
      </w:pPr>
      <w:r>
        <w:rPr>
          <w:kern w:val="0"/>
          <w:sz w:val="24"/>
        </w:rPr>
        <w:t>自本公告发布之日起5个工作日。</w:t>
      </w:r>
    </w:p>
    <w:p>
      <w:pPr>
        <w:pStyle w:val="25"/>
      </w:pPr>
    </w:p>
    <w:p>
      <w:pPr>
        <w:pStyle w:val="5"/>
        <w:spacing w:before="0" w:line="360" w:lineRule="auto"/>
        <w:jc w:val="left"/>
        <w:rPr>
          <w:rFonts w:ascii="Times New Roman" w:hAnsi="Times New Roman" w:eastAsia="宋体"/>
          <w:sz w:val="24"/>
          <w:szCs w:val="24"/>
        </w:rPr>
      </w:pPr>
      <w:bookmarkStart w:id="27" w:name="_Toc35393795"/>
      <w:bookmarkStart w:id="28" w:name="_Toc9273"/>
      <w:bookmarkStart w:id="29" w:name="_Toc35393626"/>
      <w:r>
        <w:rPr>
          <w:rFonts w:ascii="Times New Roman" w:hAnsi="Times New Roman" w:eastAsia="宋体"/>
          <w:sz w:val="24"/>
          <w:szCs w:val="24"/>
        </w:rPr>
        <w:t>六、其他补充事宜</w:t>
      </w:r>
      <w:bookmarkEnd w:id="27"/>
      <w:bookmarkEnd w:id="28"/>
      <w:bookmarkEnd w:id="29"/>
    </w:p>
    <w:p>
      <w:pPr>
        <w:spacing w:line="360" w:lineRule="auto"/>
        <w:ind w:firstLine="480" w:firstLineChars="200"/>
        <w:rPr>
          <w:sz w:val="24"/>
          <w:u w:val="single"/>
        </w:rPr>
      </w:pPr>
      <w:r>
        <w:rPr>
          <w:rFonts w:hint="eastAsia"/>
          <w:sz w:val="24"/>
        </w:rPr>
        <w:t>1.本项目需要落实的采购政策：</w:t>
      </w:r>
      <w:r>
        <w:rPr>
          <w:rFonts w:hint="eastAsia"/>
          <w:sz w:val="24"/>
          <w:u w:val="single"/>
        </w:rPr>
        <w:t xml:space="preserve">促进中小企业发展；支持监狱企业发展；鼓励节能、环保产品；扶持不发达地区和少数民族地区；促进残疾人就业政府采购政策等，详见本项目招标文件。 </w:t>
      </w:r>
    </w:p>
    <w:p>
      <w:pPr>
        <w:spacing w:line="360" w:lineRule="auto"/>
        <w:ind w:firstLine="480" w:firstLineChars="200"/>
        <w:rPr>
          <w:sz w:val="24"/>
        </w:rPr>
      </w:pPr>
      <w:r>
        <w:rPr>
          <w:rFonts w:hint="eastAsia"/>
          <w:sz w:val="24"/>
        </w:rPr>
        <w:t>2.银行账户信息，投标保证金及代理费收取的唯一账户：汇款或转账时请务必附言“项目编号+包号+用途”，例如：23ZB0295-1保证金或服务费。</w:t>
      </w:r>
    </w:p>
    <w:p>
      <w:pPr>
        <w:spacing w:line="360" w:lineRule="auto"/>
        <w:ind w:firstLine="480" w:firstLineChars="200"/>
        <w:rPr>
          <w:sz w:val="24"/>
        </w:rPr>
      </w:pPr>
      <w:r>
        <w:rPr>
          <w:rFonts w:hint="eastAsia"/>
          <w:sz w:val="24"/>
        </w:rPr>
        <w:t>收款单位：北京国际工程咨询有限公司；</w:t>
      </w:r>
    </w:p>
    <w:p>
      <w:pPr>
        <w:spacing w:line="360" w:lineRule="auto"/>
        <w:ind w:firstLine="480" w:firstLineChars="200"/>
        <w:rPr>
          <w:sz w:val="24"/>
        </w:rPr>
      </w:pPr>
      <w:r>
        <w:rPr>
          <w:rFonts w:hint="eastAsia"/>
          <w:sz w:val="24"/>
        </w:rPr>
        <w:t>开户行：</w:t>
      </w:r>
      <w:r>
        <w:rPr>
          <w:rFonts w:hint="eastAsia" w:ascii="宋体" w:hAnsi="宋体" w:cs="宋体"/>
          <w:sz w:val="24"/>
        </w:rPr>
        <w:t>华夏银行北京学院路支行</w:t>
      </w:r>
      <w:r>
        <w:rPr>
          <w:rFonts w:hint="eastAsia"/>
          <w:sz w:val="24"/>
        </w:rPr>
        <w:t xml:space="preserve">； </w:t>
      </w:r>
    </w:p>
    <w:p>
      <w:pPr>
        <w:spacing w:line="360" w:lineRule="auto"/>
        <w:ind w:firstLine="480" w:firstLineChars="200"/>
        <w:rPr>
          <w:sz w:val="24"/>
        </w:rPr>
      </w:pPr>
      <w:r>
        <w:rPr>
          <w:rFonts w:hint="eastAsia"/>
          <w:sz w:val="24"/>
        </w:rPr>
        <w:t>账号：</w:t>
      </w:r>
      <w:r>
        <w:rPr>
          <w:rFonts w:hint="eastAsia" w:ascii="宋体" w:hAnsi="宋体" w:cs="宋体"/>
          <w:sz w:val="24"/>
        </w:rPr>
        <w:t>10242000000002546</w:t>
      </w:r>
      <w:r>
        <w:rPr>
          <w:rFonts w:hint="eastAsia"/>
          <w:sz w:val="24"/>
        </w:rPr>
        <w:t>。</w:t>
      </w:r>
    </w:p>
    <w:p>
      <w:pPr>
        <w:numPr>
          <w:ilvl w:val="0"/>
          <w:numId w:val="7"/>
        </w:numPr>
        <w:spacing w:line="360" w:lineRule="auto"/>
        <w:ind w:firstLine="480" w:firstLineChars="200"/>
      </w:pPr>
      <w:r>
        <w:rPr>
          <w:rFonts w:hint="eastAsia"/>
          <w:sz w:val="24"/>
        </w:rPr>
        <w:t>发布公告的媒介：本公告在</w:t>
      </w:r>
      <w:r>
        <w:rPr>
          <w:rFonts w:hint="eastAsia"/>
          <w:sz w:val="24"/>
          <w:u w:val="single"/>
        </w:rPr>
        <w:t xml:space="preserve">中国政府采购网   </w:t>
      </w:r>
      <w:r>
        <w:rPr>
          <w:rFonts w:hint="eastAsia"/>
          <w:sz w:val="24"/>
        </w:rPr>
        <w:t>发布。</w:t>
      </w:r>
    </w:p>
    <w:p>
      <w:pPr>
        <w:pStyle w:val="5"/>
        <w:spacing w:before="0" w:line="360" w:lineRule="auto"/>
        <w:jc w:val="left"/>
        <w:rPr>
          <w:rFonts w:ascii="Times New Roman" w:hAnsi="Times New Roman" w:eastAsia="宋体"/>
          <w:sz w:val="24"/>
          <w:szCs w:val="24"/>
        </w:rPr>
      </w:pPr>
      <w:bookmarkStart w:id="30" w:name="_Toc28359085"/>
      <w:bookmarkStart w:id="31" w:name="_Toc28359008"/>
      <w:bookmarkStart w:id="32" w:name="_Toc24617"/>
      <w:bookmarkStart w:id="33" w:name="_Toc35393796"/>
      <w:bookmarkStart w:id="34" w:name="_Toc35393627"/>
      <w:r>
        <w:rPr>
          <w:rFonts w:ascii="Times New Roman" w:hAnsi="Times New Roman" w:eastAsia="宋体"/>
          <w:sz w:val="24"/>
          <w:szCs w:val="24"/>
        </w:rPr>
        <w:t>七、对本次招标提出询问，请按以下方式联系。</w:t>
      </w:r>
      <w:bookmarkEnd w:id="30"/>
      <w:bookmarkEnd w:id="31"/>
      <w:bookmarkEnd w:id="32"/>
      <w:bookmarkEnd w:id="33"/>
      <w:bookmarkEnd w:id="34"/>
    </w:p>
    <w:p>
      <w:pPr>
        <w:widowControl/>
        <w:spacing w:line="360" w:lineRule="auto"/>
        <w:jc w:val="left"/>
        <w:rPr>
          <w:b/>
          <w:sz w:val="24"/>
        </w:rPr>
      </w:pPr>
      <w:r>
        <w:rPr>
          <w:sz w:val="24"/>
        </w:rPr>
        <w:t>　　　</w:t>
      </w:r>
      <w:r>
        <w:rPr>
          <w:b/>
          <w:sz w:val="24"/>
        </w:rPr>
        <w:t>1.采购人信息</w:t>
      </w:r>
    </w:p>
    <w:p>
      <w:pPr>
        <w:spacing w:line="360" w:lineRule="auto"/>
        <w:ind w:firstLine="720" w:firstLineChars="300"/>
        <w:jc w:val="left"/>
        <w:rPr>
          <w:rFonts w:ascii="宋体" w:hAnsi="宋体" w:cs="宋体"/>
          <w:sz w:val="24"/>
        </w:rPr>
      </w:pPr>
      <w:bookmarkStart w:id="35" w:name="_Toc28359009"/>
      <w:bookmarkStart w:id="36" w:name="_Toc28359086"/>
      <w:r>
        <w:rPr>
          <w:rFonts w:hint="eastAsia" w:ascii="宋体" w:hAnsi="宋体" w:cs="宋体"/>
          <w:sz w:val="24"/>
        </w:rPr>
        <w:t>名    称：</w:t>
      </w:r>
      <w:r>
        <w:rPr>
          <w:rFonts w:hint="eastAsia" w:ascii="宋体" w:hAnsi="宋体" w:cs="宋体"/>
          <w:sz w:val="24"/>
          <w:u w:val="single"/>
        </w:rPr>
        <w:t>中国地质大学（北京）</w:t>
      </w:r>
    </w:p>
    <w:p>
      <w:pPr>
        <w:spacing w:line="360" w:lineRule="auto"/>
        <w:ind w:firstLine="720" w:firstLineChars="3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北京市海淀区学院路29号</w:t>
      </w:r>
    </w:p>
    <w:p>
      <w:pPr>
        <w:spacing w:line="360" w:lineRule="auto"/>
        <w:ind w:firstLine="720" w:firstLineChars="300"/>
        <w:jc w:val="left"/>
        <w:rPr>
          <w:rFonts w:ascii="宋体" w:hAnsi="宋体" w:cs="宋体"/>
          <w:sz w:val="24"/>
        </w:rPr>
      </w:pPr>
      <w:r>
        <w:rPr>
          <w:rFonts w:hint="eastAsia" w:ascii="宋体" w:hAnsi="宋体" w:cs="宋体"/>
          <w:sz w:val="24"/>
        </w:rPr>
        <w:t>联系方式：</w:t>
      </w:r>
      <w:r>
        <w:rPr>
          <w:rFonts w:hint="eastAsia" w:ascii="宋体" w:hAnsi="宋体" w:cs="宋体"/>
          <w:sz w:val="24"/>
          <w:u w:val="single"/>
        </w:rPr>
        <w:t>田老师010-82323930</w:t>
      </w:r>
    </w:p>
    <w:p>
      <w:pPr>
        <w:spacing w:line="360" w:lineRule="auto"/>
        <w:ind w:left="1080" w:leftChars="371" w:hanging="301" w:hangingChars="125"/>
        <w:jc w:val="left"/>
        <w:rPr>
          <w:b/>
          <w:sz w:val="24"/>
        </w:rPr>
      </w:pPr>
      <w:r>
        <w:rPr>
          <w:b/>
          <w:sz w:val="24"/>
        </w:rPr>
        <w:t>2.采购代理机构信息</w:t>
      </w:r>
      <w:bookmarkEnd w:id="35"/>
      <w:bookmarkEnd w:id="36"/>
    </w:p>
    <w:p>
      <w:pPr>
        <w:spacing w:line="360" w:lineRule="auto"/>
        <w:ind w:firstLine="804" w:firstLineChars="335"/>
        <w:jc w:val="left"/>
        <w:rPr>
          <w:rFonts w:ascii="宋体" w:hAnsi="宋体" w:cs="宋体"/>
          <w:sz w:val="24"/>
        </w:rPr>
      </w:pPr>
      <w:bookmarkStart w:id="37" w:name="_Toc28359010"/>
      <w:bookmarkStart w:id="38" w:name="_Toc28359087"/>
      <w:r>
        <w:rPr>
          <w:rFonts w:hint="eastAsia" w:ascii="宋体" w:hAnsi="宋体" w:cs="宋体"/>
          <w:sz w:val="24"/>
        </w:rPr>
        <w:t>名    称：</w:t>
      </w:r>
      <w:r>
        <w:rPr>
          <w:rFonts w:hint="eastAsia" w:ascii="宋体" w:hAnsi="宋体" w:cs="宋体"/>
          <w:sz w:val="24"/>
          <w:u w:val="single"/>
        </w:rPr>
        <w:t>北京国际工程咨询有限公司</w:t>
      </w:r>
    </w:p>
    <w:p>
      <w:pPr>
        <w:spacing w:line="360" w:lineRule="auto"/>
        <w:ind w:firstLine="804" w:firstLineChars="335"/>
        <w:jc w:val="left"/>
        <w:rPr>
          <w:rFonts w:ascii="宋体" w:hAnsi="宋体" w:cs="宋体"/>
          <w:sz w:val="24"/>
        </w:rPr>
      </w:pPr>
      <w:r>
        <w:rPr>
          <w:rFonts w:hint="eastAsia" w:ascii="宋体" w:hAnsi="宋体" w:cs="宋体"/>
          <w:sz w:val="24"/>
        </w:rPr>
        <w:t>地　　址：</w:t>
      </w:r>
      <w:r>
        <w:rPr>
          <w:rFonts w:hint="eastAsia" w:ascii="宋体" w:hAnsi="宋体" w:cs="宋体"/>
          <w:sz w:val="24"/>
          <w:u w:val="single"/>
        </w:rPr>
        <w:t>北京市海淀区学院路30号科大天工大厦A座六层</w:t>
      </w:r>
    </w:p>
    <w:p>
      <w:pPr>
        <w:spacing w:line="360" w:lineRule="auto"/>
        <w:ind w:firstLine="804" w:firstLineChars="335"/>
        <w:jc w:val="left"/>
        <w:rPr>
          <w:rFonts w:ascii="宋体" w:hAnsi="宋体" w:cs="宋体"/>
          <w:sz w:val="24"/>
          <w:u w:val="single"/>
        </w:rPr>
      </w:pPr>
      <w:r>
        <w:rPr>
          <w:rFonts w:hint="eastAsia" w:ascii="宋体" w:hAnsi="宋体" w:cs="宋体"/>
          <w:sz w:val="24"/>
        </w:rPr>
        <w:t>联系方式：</w:t>
      </w:r>
      <w:r>
        <w:rPr>
          <w:rFonts w:hint="eastAsia" w:ascii="宋体" w:hAnsi="宋体" w:cs="宋体"/>
          <w:sz w:val="24"/>
          <w:u w:val="single"/>
        </w:rPr>
        <w:t>010－82376733，jowena@163.com</w:t>
      </w:r>
    </w:p>
    <w:p>
      <w:pPr>
        <w:spacing w:line="360" w:lineRule="auto"/>
        <w:ind w:firstLine="723" w:firstLineChars="300"/>
        <w:rPr>
          <w:b/>
          <w:sz w:val="24"/>
          <w:u w:val="single"/>
        </w:rPr>
      </w:pPr>
      <w:r>
        <w:rPr>
          <w:b/>
          <w:sz w:val="24"/>
        </w:rPr>
        <w:t>3.项目联系方式</w:t>
      </w:r>
      <w:bookmarkEnd w:id="37"/>
      <w:bookmarkEnd w:id="38"/>
    </w:p>
    <w:p>
      <w:pPr>
        <w:spacing w:line="360" w:lineRule="auto"/>
        <w:ind w:firstLine="804" w:firstLineChars="335"/>
        <w:jc w:val="left"/>
        <w:rPr>
          <w:rFonts w:ascii="宋体" w:hAnsi="宋体" w:cs="宋体"/>
          <w:sz w:val="24"/>
        </w:rPr>
      </w:pPr>
      <w:r>
        <w:rPr>
          <w:rFonts w:hint="eastAsia" w:ascii="宋体" w:hAnsi="宋体" w:cs="宋体"/>
          <w:sz w:val="24"/>
        </w:rPr>
        <w:t>项目联系人：</w:t>
      </w:r>
      <w:r>
        <w:rPr>
          <w:rFonts w:hint="eastAsia" w:ascii="宋体" w:hAnsi="宋体" w:cs="宋体"/>
          <w:sz w:val="24"/>
          <w:u w:val="single"/>
        </w:rPr>
        <w:t>王经理、周经理</w:t>
      </w:r>
    </w:p>
    <w:p>
      <w:pPr>
        <w:spacing w:line="360" w:lineRule="auto"/>
        <w:ind w:firstLine="804" w:firstLineChars="335"/>
        <w:jc w:val="left"/>
        <w:rPr>
          <w:rFonts w:ascii="宋体" w:hAnsi="宋体" w:cs="宋体"/>
          <w:sz w:val="24"/>
        </w:rPr>
      </w:pPr>
      <w:r>
        <w:rPr>
          <w:rFonts w:hint="eastAsia" w:ascii="宋体" w:hAnsi="宋体" w:cs="宋体"/>
          <w:sz w:val="24"/>
        </w:rPr>
        <w:t>电　　 话：</w:t>
      </w:r>
      <w:r>
        <w:rPr>
          <w:rFonts w:hint="eastAsia" w:ascii="宋体" w:hAnsi="宋体" w:cs="宋体"/>
          <w:sz w:val="24"/>
          <w:u w:val="single"/>
        </w:rPr>
        <w:t>010－82376733</w:t>
      </w:r>
    </w:p>
    <w:p>
      <w:pPr>
        <w:pStyle w:val="4"/>
        <w:spacing w:line="360" w:lineRule="auto"/>
        <w:rPr>
          <w:rFonts w:hAnsi="宋体"/>
          <w:sz w:val="28"/>
        </w:rPr>
      </w:pPr>
      <w:r>
        <w:rPr>
          <w:rFonts w:hint="eastAsia" w:hAnsi="宋体"/>
          <w:sz w:val="28"/>
        </w:rPr>
        <w:br w:type="page"/>
      </w:r>
      <w:bookmarkStart w:id="39" w:name="_Toc20543"/>
      <w:r>
        <w:rPr>
          <w:rFonts w:hint="eastAsia" w:hAnsi="宋体"/>
          <w:sz w:val="28"/>
        </w:rPr>
        <w:t>第二章</w:t>
      </w:r>
      <w:r>
        <w:rPr>
          <w:rFonts w:hAnsi="宋体"/>
          <w:sz w:val="28"/>
        </w:rPr>
        <w:t xml:space="preserve"> </w:t>
      </w:r>
      <w:r>
        <w:rPr>
          <w:rFonts w:hint="eastAsia" w:hAnsi="宋体"/>
          <w:sz w:val="28"/>
        </w:rPr>
        <w:t>投标人须知</w:t>
      </w:r>
      <w:bookmarkEnd w:id="39"/>
    </w:p>
    <w:p>
      <w:pPr>
        <w:pStyle w:val="5"/>
        <w:tabs>
          <w:tab w:val="center" w:pos="4592"/>
          <w:tab w:val="left" w:pos="7860"/>
        </w:tabs>
        <w:spacing w:before="0" w:line="360" w:lineRule="auto"/>
        <w:rPr>
          <w:rFonts w:ascii="宋体" w:hAnsi="宋体" w:eastAsia="宋体"/>
          <w:sz w:val="28"/>
        </w:rPr>
      </w:pPr>
      <w:bookmarkStart w:id="40" w:name="_Toc24001"/>
      <w:r>
        <w:rPr>
          <w:rFonts w:ascii="宋体" w:hAnsi="宋体" w:eastAsia="宋体"/>
          <w:sz w:val="28"/>
        </w:rPr>
        <w:t>投标人须知资料表</w:t>
      </w:r>
      <w:bookmarkEnd w:id="40"/>
    </w:p>
    <w:p>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pPr>
              <w:spacing w:line="288" w:lineRule="auto"/>
              <w:jc w:val="center"/>
              <w:rPr>
                <w:rFonts w:ascii="宋体" w:hAnsi="宋体"/>
                <w:b/>
                <w:bCs/>
                <w:sz w:val="24"/>
              </w:rPr>
            </w:pPr>
            <w:r>
              <w:rPr>
                <w:rFonts w:ascii="宋体" w:hAnsi="宋体"/>
                <w:b/>
                <w:sz w:val="24"/>
              </w:rPr>
              <w:t>条款号</w:t>
            </w:r>
          </w:p>
        </w:tc>
        <w:tc>
          <w:tcPr>
            <w:tcW w:w="1701" w:type="dxa"/>
            <w:vAlign w:val="center"/>
          </w:tcPr>
          <w:p>
            <w:pPr>
              <w:spacing w:line="288" w:lineRule="auto"/>
              <w:jc w:val="center"/>
              <w:rPr>
                <w:rFonts w:ascii="宋体" w:hAnsi="宋体"/>
                <w:b/>
                <w:bCs/>
                <w:sz w:val="24"/>
              </w:rPr>
            </w:pPr>
            <w:r>
              <w:rPr>
                <w:rFonts w:ascii="宋体" w:hAnsi="宋体"/>
                <w:b/>
                <w:bCs/>
                <w:sz w:val="24"/>
              </w:rPr>
              <w:t>条目</w:t>
            </w:r>
          </w:p>
        </w:tc>
        <w:tc>
          <w:tcPr>
            <w:tcW w:w="7540" w:type="dxa"/>
            <w:vAlign w:val="center"/>
          </w:tcPr>
          <w:p>
            <w:pPr>
              <w:spacing w:line="288" w:lineRule="auto"/>
              <w:jc w:val="center"/>
              <w:rPr>
                <w:rFonts w:ascii="宋体" w:hAnsi="宋体"/>
                <w:b/>
                <w:bCs/>
                <w:sz w:val="24"/>
              </w:rPr>
            </w:pPr>
            <w:r>
              <w:rPr>
                <w:rFonts w:ascii="宋体" w:hAnsi="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int="eastAsia" w:hAnsi="宋体"/>
                <w:sz w:val="24"/>
                <w:szCs w:val="24"/>
              </w:rPr>
              <w:t>2.1</w:t>
            </w:r>
          </w:p>
        </w:tc>
        <w:tc>
          <w:tcPr>
            <w:tcW w:w="1701" w:type="dxa"/>
            <w:vAlign w:val="center"/>
          </w:tcPr>
          <w:p>
            <w:pPr>
              <w:spacing w:line="288" w:lineRule="auto"/>
              <w:jc w:val="center"/>
              <w:rPr>
                <w:rFonts w:ascii="宋体" w:hAnsi="宋体"/>
                <w:sz w:val="24"/>
              </w:rPr>
            </w:pPr>
            <w:r>
              <w:rPr>
                <w:rFonts w:hint="eastAsia" w:ascii="宋体" w:hAnsi="宋体"/>
                <w:sz w:val="24"/>
              </w:rPr>
              <w:t>资金来源</w:t>
            </w:r>
          </w:p>
        </w:tc>
        <w:tc>
          <w:tcPr>
            <w:tcW w:w="7540" w:type="dxa"/>
            <w:vAlign w:val="center"/>
          </w:tcPr>
          <w:p>
            <w:pPr>
              <w:spacing w:line="288" w:lineRule="auto"/>
              <w:jc w:val="left"/>
              <w:rPr>
                <w:rFonts w:ascii="宋体" w:hAnsi="宋体"/>
                <w:sz w:val="24"/>
              </w:rPr>
            </w:pPr>
            <w:r>
              <w:rPr>
                <w:rFonts w:ascii="宋体" w:hAnsi="宋体"/>
                <w:sz w:val="24"/>
              </w:rPr>
              <w:t>□</w:t>
            </w:r>
            <w:r>
              <w:rPr>
                <w:rFonts w:hint="eastAsia" w:ascii="宋体" w:hAnsi="宋体"/>
                <w:sz w:val="24"/>
              </w:rPr>
              <w:t>财政性资金</w:t>
            </w:r>
          </w:p>
          <w:p>
            <w:pPr>
              <w:spacing w:line="288" w:lineRule="auto"/>
              <w:jc w:val="left"/>
              <w:rPr>
                <w:rFonts w:ascii="宋体" w:hAnsi="宋体"/>
                <w:sz w:val="24"/>
              </w:rPr>
            </w:pPr>
            <w:r>
              <w:rPr>
                <w:rFonts w:hint="eastAsia" w:ascii="宋体" w:hAnsi="宋体"/>
                <w:sz w:val="24"/>
              </w:rPr>
              <w:t>■非财政性资金（银行专项）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2.2</w:t>
            </w:r>
          </w:p>
        </w:tc>
        <w:tc>
          <w:tcPr>
            <w:tcW w:w="1701" w:type="dxa"/>
            <w:vAlign w:val="center"/>
          </w:tcPr>
          <w:p>
            <w:pPr>
              <w:spacing w:line="288" w:lineRule="auto"/>
              <w:jc w:val="center"/>
              <w:rPr>
                <w:rFonts w:ascii="宋体" w:hAnsi="宋体"/>
                <w:sz w:val="24"/>
              </w:rPr>
            </w:pPr>
            <w:r>
              <w:rPr>
                <w:rFonts w:ascii="宋体" w:hAnsi="宋体"/>
                <w:sz w:val="24"/>
              </w:rPr>
              <w:t>项目属性</w:t>
            </w:r>
          </w:p>
        </w:tc>
        <w:tc>
          <w:tcPr>
            <w:tcW w:w="7540" w:type="dxa"/>
            <w:vAlign w:val="center"/>
          </w:tcPr>
          <w:p>
            <w:pPr>
              <w:spacing w:line="288" w:lineRule="auto"/>
              <w:jc w:val="left"/>
              <w:rPr>
                <w:rFonts w:ascii="宋体" w:hAnsi="宋体"/>
                <w:sz w:val="24"/>
              </w:rPr>
            </w:pPr>
            <w:r>
              <w:rPr>
                <w:rFonts w:ascii="宋体" w:hAnsi="宋体"/>
                <w:sz w:val="24"/>
              </w:rPr>
              <w:t>项目属性：</w:t>
            </w:r>
          </w:p>
          <w:p>
            <w:pPr>
              <w:spacing w:line="288" w:lineRule="auto"/>
              <w:jc w:val="left"/>
              <w:rPr>
                <w:rFonts w:ascii="宋体" w:hAnsi="宋体"/>
                <w:sz w:val="24"/>
              </w:rPr>
            </w:pPr>
            <w:r>
              <w:rPr>
                <w:rFonts w:ascii="宋体" w:hAnsi="宋体"/>
                <w:b/>
                <w:color w:val="000000"/>
                <w:sz w:val="24"/>
              </w:rPr>
              <w:t>■</w:t>
            </w:r>
            <w:r>
              <w:rPr>
                <w:rFonts w:ascii="宋体" w:hAnsi="宋体"/>
                <w:sz w:val="24"/>
              </w:rPr>
              <w:t>服务</w:t>
            </w:r>
          </w:p>
          <w:p>
            <w:pPr>
              <w:spacing w:line="288" w:lineRule="auto"/>
              <w:jc w:val="left"/>
              <w:rPr>
                <w:rFonts w:ascii="宋体" w:hAnsi="宋体"/>
                <w:sz w:val="24"/>
                <w:u w:val="single"/>
              </w:rPr>
            </w:pPr>
            <w:r>
              <w:rPr>
                <w:rFonts w:ascii="宋体" w:hAnsi="宋体"/>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2.3</w:t>
            </w:r>
          </w:p>
        </w:tc>
        <w:tc>
          <w:tcPr>
            <w:tcW w:w="1701" w:type="dxa"/>
            <w:vAlign w:val="center"/>
          </w:tcPr>
          <w:p>
            <w:pPr>
              <w:spacing w:line="288" w:lineRule="auto"/>
              <w:jc w:val="center"/>
              <w:rPr>
                <w:rFonts w:ascii="宋体" w:hAnsi="宋体"/>
                <w:sz w:val="24"/>
              </w:rPr>
            </w:pPr>
            <w:r>
              <w:rPr>
                <w:rFonts w:ascii="宋体" w:hAnsi="宋体"/>
                <w:sz w:val="24"/>
              </w:rPr>
              <w:t>科研仪器设备</w:t>
            </w:r>
          </w:p>
        </w:tc>
        <w:tc>
          <w:tcPr>
            <w:tcW w:w="7540" w:type="dxa"/>
            <w:vAlign w:val="center"/>
          </w:tcPr>
          <w:p>
            <w:pPr>
              <w:spacing w:line="288" w:lineRule="auto"/>
              <w:jc w:val="left"/>
              <w:rPr>
                <w:rFonts w:ascii="宋体" w:hAnsi="宋体"/>
                <w:sz w:val="24"/>
              </w:rPr>
            </w:pPr>
            <w:r>
              <w:rPr>
                <w:rFonts w:ascii="宋体" w:hAnsi="宋体"/>
                <w:sz w:val="24"/>
              </w:rPr>
              <w:t>是否属于科研仪器设备采购项目：</w:t>
            </w:r>
          </w:p>
          <w:p>
            <w:pPr>
              <w:spacing w:line="288" w:lineRule="auto"/>
              <w:jc w:val="left"/>
              <w:rPr>
                <w:rFonts w:ascii="宋体" w:hAnsi="宋体"/>
                <w:sz w:val="24"/>
              </w:rPr>
            </w:pPr>
            <w:r>
              <w:rPr>
                <w:rFonts w:ascii="宋体" w:hAnsi="宋体"/>
                <w:sz w:val="24"/>
              </w:rPr>
              <w:t>□是</w:t>
            </w:r>
          </w:p>
          <w:p>
            <w:pPr>
              <w:spacing w:line="288" w:lineRule="auto"/>
              <w:jc w:val="left"/>
              <w:rPr>
                <w:rFonts w:ascii="宋体" w:hAnsi="宋体"/>
                <w:sz w:val="24"/>
              </w:rPr>
            </w:pPr>
            <w:r>
              <w:rPr>
                <w:rFonts w:ascii="宋体" w:hAnsi="宋体"/>
                <w:b/>
                <w:color w:val="000000"/>
                <w:sz w:val="24"/>
              </w:rPr>
              <w:t>■</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2.4</w:t>
            </w:r>
          </w:p>
        </w:tc>
        <w:tc>
          <w:tcPr>
            <w:tcW w:w="1701" w:type="dxa"/>
            <w:vAlign w:val="center"/>
          </w:tcPr>
          <w:p>
            <w:pPr>
              <w:spacing w:line="288" w:lineRule="auto"/>
              <w:jc w:val="center"/>
              <w:rPr>
                <w:rFonts w:ascii="宋体" w:hAnsi="宋体"/>
                <w:sz w:val="24"/>
              </w:rPr>
            </w:pPr>
            <w:r>
              <w:rPr>
                <w:rFonts w:ascii="宋体" w:hAnsi="宋体"/>
                <w:sz w:val="24"/>
              </w:rPr>
              <w:t>核心产品</w:t>
            </w:r>
          </w:p>
        </w:tc>
        <w:tc>
          <w:tcPr>
            <w:tcW w:w="7540" w:type="dxa"/>
            <w:vAlign w:val="center"/>
          </w:tcPr>
          <w:p>
            <w:pPr>
              <w:pStyle w:val="17"/>
              <w:adjustRightInd w:val="0"/>
              <w:snapToGrid w:val="0"/>
              <w:spacing w:line="288" w:lineRule="auto"/>
              <w:rPr>
                <w:rFonts w:hAnsi="宋体"/>
                <w:sz w:val="24"/>
                <w:szCs w:val="24"/>
              </w:rPr>
            </w:pPr>
            <w:r>
              <w:rPr>
                <w:rFonts w:hAnsi="宋体"/>
                <w:sz w:val="24"/>
              </w:rPr>
              <w:t>□</w:t>
            </w:r>
            <w:r>
              <w:rPr>
                <w:rFonts w:hAnsi="宋体"/>
                <w:sz w:val="24"/>
                <w:szCs w:val="24"/>
              </w:rPr>
              <w:t>关于核心产品本项目__包不适用。</w:t>
            </w:r>
          </w:p>
          <w:p>
            <w:pPr>
              <w:pStyle w:val="17"/>
              <w:adjustRightInd w:val="0"/>
              <w:snapToGrid w:val="0"/>
              <w:spacing w:line="288" w:lineRule="auto"/>
              <w:rPr>
                <w:rFonts w:hAnsi="宋体"/>
                <w:sz w:val="24"/>
                <w:szCs w:val="24"/>
              </w:rPr>
            </w:pPr>
            <w:r>
              <w:rPr>
                <w:rFonts w:hAnsi="宋体"/>
                <w:b/>
                <w:color w:val="000000"/>
                <w:sz w:val="24"/>
              </w:rPr>
              <w:t>■</w:t>
            </w:r>
            <w:r>
              <w:rPr>
                <w:rFonts w:hAnsi="宋体"/>
                <w:sz w:val="24"/>
              </w:rPr>
              <w:t>本项目</w:t>
            </w:r>
            <w:r>
              <w:rPr>
                <w:rFonts w:hAnsi="宋体"/>
                <w:sz w:val="24"/>
                <w:u w:val="single"/>
              </w:rPr>
              <w:t xml:space="preserve"> </w:t>
            </w:r>
            <w:r>
              <w:rPr>
                <w:rFonts w:hint="eastAsia" w:hAnsi="宋体"/>
                <w:sz w:val="24"/>
                <w:u w:val="single"/>
              </w:rPr>
              <w:t xml:space="preserve"> 01  </w:t>
            </w:r>
            <w:r>
              <w:rPr>
                <w:rFonts w:hAnsi="宋体"/>
                <w:sz w:val="24"/>
              </w:rPr>
              <w:t>包为单一产品采购项目</w:t>
            </w:r>
          </w:p>
          <w:p>
            <w:pPr>
              <w:pStyle w:val="17"/>
              <w:adjustRightInd w:val="0"/>
              <w:snapToGrid w:val="0"/>
              <w:spacing w:line="288" w:lineRule="auto"/>
              <w:rPr>
                <w:rFonts w:hAnsi="宋体"/>
                <w:sz w:val="24"/>
                <w:szCs w:val="24"/>
              </w:rPr>
            </w:pPr>
            <w:r>
              <w:rPr>
                <w:rFonts w:hAnsi="宋体"/>
                <w:sz w:val="24"/>
              </w:rPr>
              <w:t>□本项目</w:t>
            </w:r>
            <w:r>
              <w:rPr>
                <w:rFonts w:hint="eastAsia" w:hAnsi="宋体"/>
                <w:sz w:val="24"/>
                <w:u w:val="single"/>
              </w:rPr>
              <w:t xml:space="preserve">   </w:t>
            </w:r>
            <w:r>
              <w:rPr>
                <w:rFonts w:hAnsi="宋体"/>
                <w:sz w:val="24"/>
              </w:rPr>
              <w:t>包为非单一产品采购项目，各分包的核心产品为：</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pStyle w:val="17"/>
              <w:adjustRightInd w:val="0"/>
              <w:snapToGrid w:val="0"/>
              <w:spacing w:line="288" w:lineRule="auto"/>
              <w:jc w:val="center"/>
              <w:rPr>
                <w:rFonts w:hAnsi="宋体"/>
                <w:sz w:val="24"/>
                <w:szCs w:val="24"/>
              </w:rPr>
            </w:pPr>
            <w:r>
              <w:rPr>
                <w:rFonts w:hAnsi="宋体"/>
                <w:sz w:val="24"/>
                <w:szCs w:val="24"/>
              </w:rPr>
              <w:t>3.1</w:t>
            </w:r>
          </w:p>
        </w:tc>
        <w:tc>
          <w:tcPr>
            <w:tcW w:w="1701" w:type="dxa"/>
            <w:vAlign w:val="center"/>
          </w:tcPr>
          <w:p>
            <w:pPr>
              <w:spacing w:line="288" w:lineRule="auto"/>
              <w:jc w:val="center"/>
              <w:rPr>
                <w:rFonts w:ascii="宋体" w:hAnsi="宋体"/>
                <w:sz w:val="24"/>
              </w:rPr>
            </w:pPr>
            <w:r>
              <w:rPr>
                <w:rFonts w:ascii="宋体" w:hAnsi="宋体"/>
                <w:sz w:val="24"/>
              </w:rPr>
              <w:t>现场考察</w:t>
            </w:r>
          </w:p>
        </w:tc>
        <w:tc>
          <w:tcPr>
            <w:tcW w:w="7540" w:type="dxa"/>
            <w:vAlign w:val="center"/>
          </w:tcPr>
          <w:p>
            <w:pPr>
              <w:spacing w:line="288" w:lineRule="auto"/>
              <w:jc w:val="left"/>
              <w:rPr>
                <w:rFonts w:ascii="宋体" w:hAnsi="宋体"/>
                <w:sz w:val="24"/>
              </w:rPr>
            </w:pPr>
            <w:r>
              <w:rPr>
                <w:rFonts w:ascii="宋体" w:hAnsi="宋体"/>
                <w:b/>
                <w:color w:val="000000"/>
                <w:sz w:val="24"/>
              </w:rPr>
              <w:t>■</w:t>
            </w:r>
            <w:r>
              <w:rPr>
                <w:rFonts w:ascii="宋体" w:hAnsi="宋体"/>
                <w:sz w:val="24"/>
              </w:rPr>
              <w:t>不组织</w:t>
            </w:r>
          </w:p>
          <w:p>
            <w:pPr>
              <w:spacing w:line="288"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pPr>
              <w:pStyle w:val="17"/>
              <w:adjustRightInd w:val="0"/>
              <w:snapToGrid w:val="0"/>
              <w:spacing w:line="288" w:lineRule="auto"/>
              <w:rPr>
                <w:rFonts w:hAnsi="宋体"/>
                <w:sz w:val="24"/>
                <w:szCs w:val="24"/>
              </w:rPr>
            </w:pPr>
            <w:r>
              <w:rPr>
                <w:rFonts w:hAnsi="宋体"/>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pStyle w:val="17"/>
              <w:adjustRightInd w:val="0"/>
              <w:snapToGrid w:val="0"/>
              <w:spacing w:line="288" w:lineRule="auto"/>
              <w:jc w:val="center"/>
              <w:rPr>
                <w:rFonts w:hAnsi="宋体"/>
                <w:sz w:val="24"/>
                <w:szCs w:val="24"/>
              </w:rPr>
            </w:pPr>
          </w:p>
        </w:tc>
        <w:tc>
          <w:tcPr>
            <w:tcW w:w="1701" w:type="dxa"/>
            <w:vAlign w:val="center"/>
          </w:tcPr>
          <w:p>
            <w:pPr>
              <w:spacing w:line="288" w:lineRule="auto"/>
              <w:jc w:val="center"/>
              <w:rPr>
                <w:rFonts w:ascii="宋体" w:hAnsi="宋体"/>
                <w:sz w:val="24"/>
              </w:rPr>
            </w:pPr>
            <w:r>
              <w:rPr>
                <w:rFonts w:ascii="宋体" w:hAnsi="宋体"/>
                <w:sz w:val="24"/>
              </w:rPr>
              <w:t>开标前答疑会</w:t>
            </w:r>
          </w:p>
        </w:tc>
        <w:tc>
          <w:tcPr>
            <w:tcW w:w="7540" w:type="dxa"/>
            <w:vAlign w:val="center"/>
          </w:tcPr>
          <w:p>
            <w:pPr>
              <w:spacing w:line="288" w:lineRule="auto"/>
              <w:jc w:val="left"/>
              <w:rPr>
                <w:rFonts w:ascii="宋体" w:hAnsi="宋体"/>
                <w:sz w:val="24"/>
              </w:rPr>
            </w:pPr>
            <w:r>
              <w:rPr>
                <w:rFonts w:ascii="宋体" w:hAnsi="宋体"/>
                <w:b/>
                <w:color w:val="000000"/>
                <w:sz w:val="24"/>
              </w:rPr>
              <w:t>■</w:t>
            </w:r>
            <w:r>
              <w:rPr>
                <w:rFonts w:ascii="宋体" w:hAnsi="宋体"/>
                <w:sz w:val="24"/>
              </w:rPr>
              <w:t>不召开</w:t>
            </w:r>
          </w:p>
          <w:p>
            <w:pPr>
              <w:spacing w:line="288"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pPr>
              <w:spacing w:line="288" w:lineRule="auto"/>
              <w:jc w:val="left"/>
              <w:rPr>
                <w:rFonts w:ascii="宋体" w:hAnsi="宋体"/>
                <w:sz w:val="24"/>
              </w:rPr>
            </w:pPr>
            <w:r>
              <w:rPr>
                <w:rFonts w:ascii="宋体" w:hAnsi="宋体"/>
                <w:sz w:val="24"/>
              </w:rPr>
              <w:t>召开地点：____________</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4.1</w:t>
            </w:r>
          </w:p>
        </w:tc>
        <w:tc>
          <w:tcPr>
            <w:tcW w:w="1701" w:type="dxa"/>
            <w:vAlign w:val="center"/>
          </w:tcPr>
          <w:p>
            <w:pPr>
              <w:spacing w:line="288" w:lineRule="auto"/>
              <w:jc w:val="center"/>
              <w:rPr>
                <w:rFonts w:ascii="宋体" w:hAnsi="宋体"/>
                <w:sz w:val="24"/>
              </w:rPr>
            </w:pPr>
            <w:r>
              <w:rPr>
                <w:rFonts w:ascii="宋体" w:hAnsi="宋体"/>
                <w:sz w:val="24"/>
              </w:rPr>
              <w:t>样品</w:t>
            </w:r>
          </w:p>
        </w:tc>
        <w:tc>
          <w:tcPr>
            <w:tcW w:w="7540" w:type="dxa"/>
            <w:vAlign w:val="center"/>
          </w:tcPr>
          <w:p>
            <w:pPr>
              <w:spacing w:line="288" w:lineRule="auto"/>
              <w:jc w:val="left"/>
              <w:rPr>
                <w:rFonts w:ascii="宋体" w:hAnsi="宋体"/>
                <w:sz w:val="24"/>
              </w:rPr>
            </w:pPr>
            <w:r>
              <w:rPr>
                <w:rFonts w:ascii="宋体" w:hAnsi="宋体"/>
                <w:sz w:val="24"/>
              </w:rPr>
              <w:t>投标样品递交：</w:t>
            </w:r>
          </w:p>
          <w:p>
            <w:pPr>
              <w:spacing w:line="288" w:lineRule="auto"/>
              <w:jc w:val="left"/>
              <w:rPr>
                <w:rFonts w:ascii="宋体" w:hAnsi="宋体"/>
                <w:sz w:val="24"/>
              </w:rPr>
            </w:pPr>
            <w:r>
              <w:rPr>
                <w:rFonts w:ascii="宋体" w:hAnsi="宋体"/>
                <w:b/>
                <w:color w:val="000000"/>
                <w:sz w:val="24"/>
              </w:rPr>
              <w:t>■</w:t>
            </w:r>
            <w:r>
              <w:rPr>
                <w:rFonts w:ascii="宋体" w:hAnsi="宋体"/>
                <w:sz w:val="24"/>
              </w:rPr>
              <w:t>不需要</w:t>
            </w:r>
          </w:p>
          <w:p>
            <w:pPr>
              <w:spacing w:line="288" w:lineRule="auto"/>
              <w:jc w:val="left"/>
              <w:rPr>
                <w:rFonts w:ascii="宋体" w:hAnsi="宋体"/>
                <w:sz w:val="24"/>
              </w:rPr>
            </w:pPr>
            <w:r>
              <w:rPr>
                <w:rFonts w:ascii="宋体" w:hAnsi="宋体"/>
                <w:sz w:val="24"/>
              </w:rPr>
              <w:t>□需要，具体要求如下：</w:t>
            </w:r>
          </w:p>
          <w:p>
            <w:pPr>
              <w:spacing w:line="288" w:lineRule="auto"/>
              <w:jc w:val="left"/>
              <w:rPr>
                <w:rFonts w:ascii="宋体" w:hAnsi="宋体"/>
                <w:sz w:val="24"/>
                <w:u w:val="single"/>
              </w:rPr>
            </w:pPr>
            <w:r>
              <w:rPr>
                <w:rFonts w:ascii="宋体" w:hAnsi="宋体"/>
                <w:sz w:val="24"/>
              </w:rPr>
              <w:t>（1）样品制作的标准和要求：____；</w:t>
            </w:r>
          </w:p>
          <w:p>
            <w:pPr>
              <w:spacing w:line="288" w:lineRule="auto"/>
              <w:jc w:val="left"/>
              <w:rPr>
                <w:rFonts w:ascii="宋体" w:hAnsi="宋体"/>
                <w:sz w:val="24"/>
              </w:rPr>
            </w:pPr>
            <w:r>
              <w:rPr>
                <w:rFonts w:ascii="宋体" w:hAnsi="宋体"/>
                <w:sz w:val="24"/>
              </w:rPr>
              <w:t>（2）是否需要随样品提交相关检测报告：</w:t>
            </w:r>
          </w:p>
          <w:p>
            <w:pPr>
              <w:spacing w:line="288" w:lineRule="auto"/>
              <w:ind w:firstLine="600" w:firstLineChars="250"/>
              <w:jc w:val="left"/>
              <w:rPr>
                <w:rFonts w:ascii="宋体" w:hAnsi="宋体"/>
                <w:sz w:val="24"/>
              </w:rPr>
            </w:pPr>
            <w:r>
              <w:rPr>
                <w:rFonts w:ascii="宋体" w:hAnsi="宋体"/>
                <w:sz w:val="24"/>
              </w:rPr>
              <w:t>□不需要</w:t>
            </w:r>
          </w:p>
          <w:p>
            <w:pPr>
              <w:spacing w:line="288" w:lineRule="auto"/>
              <w:ind w:firstLine="600" w:firstLineChars="250"/>
              <w:jc w:val="left"/>
              <w:rPr>
                <w:rFonts w:ascii="宋体" w:hAnsi="宋体"/>
                <w:sz w:val="24"/>
              </w:rPr>
            </w:pPr>
            <w:r>
              <w:rPr>
                <w:rFonts w:ascii="宋体" w:hAnsi="宋体"/>
                <w:sz w:val="24"/>
              </w:rPr>
              <w:t>□需要</w:t>
            </w:r>
          </w:p>
          <w:p>
            <w:pPr>
              <w:spacing w:line="288" w:lineRule="auto"/>
              <w:jc w:val="left"/>
              <w:rPr>
                <w:rFonts w:ascii="宋体" w:hAnsi="宋体"/>
                <w:sz w:val="24"/>
              </w:rPr>
            </w:pPr>
            <w:r>
              <w:rPr>
                <w:rFonts w:ascii="宋体" w:hAnsi="宋体"/>
                <w:sz w:val="24"/>
              </w:rPr>
              <w:t>（3）样品递交要求：____</w:t>
            </w:r>
            <w:r>
              <w:rPr>
                <w:rFonts w:hint="eastAsia" w:ascii="宋体" w:hAnsi="宋体"/>
                <w:sz w:val="24"/>
              </w:rPr>
              <w:t xml:space="preserve"> </w:t>
            </w:r>
            <w:r>
              <w:rPr>
                <w:rFonts w:ascii="宋体" w:hAnsi="宋体"/>
                <w:sz w:val="24"/>
              </w:rPr>
              <w:t>；</w:t>
            </w:r>
          </w:p>
          <w:p>
            <w:pPr>
              <w:spacing w:line="288" w:lineRule="auto"/>
              <w:jc w:val="left"/>
              <w:rPr>
                <w:rFonts w:ascii="宋体" w:hAnsi="宋体"/>
                <w:sz w:val="24"/>
              </w:rPr>
            </w:pPr>
            <w:r>
              <w:rPr>
                <w:rFonts w:ascii="宋体" w:hAnsi="宋体"/>
                <w:sz w:val="24"/>
              </w:rPr>
              <w:t>（4）未中标人样品退还：___；</w:t>
            </w:r>
          </w:p>
          <w:p>
            <w:pPr>
              <w:spacing w:line="288" w:lineRule="auto"/>
              <w:jc w:val="left"/>
              <w:rPr>
                <w:rFonts w:ascii="宋体" w:hAnsi="宋体"/>
                <w:sz w:val="24"/>
                <w:u w:val="single"/>
              </w:rPr>
            </w:pPr>
            <w:r>
              <w:rPr>
                <w:rFonts w:ascii="宋体" w:hAnsi="宋体"/>
                <w:sz w:val="24"/>
              </w:rPr>
              <w:t>（5）中标人样品保管、封存及退还：______；</w:t>
            </w:r>
          </w:p>
          <w:p>
            <w:pPr>
              <w:spacing w:line="288" w:lineRule="auto"/>
              <w:jc w:val="left"/>
              <w:rPr>
                <w:rFonts w:ascii="宋体" w:hAnsi="宋体"/>
                <w:sz w:val="24"/>
              </w:rPr>
            </w:pPr>
            <w:r>
              <w:rPr>
                <w:rFonts w:ascii="宋体" w:hAnsi="宋体"/>
                <w:sz w:val="24"/>
              </w:rPr>
              <w:t>（6）其他要求：</w:t>
            </w:r>
            <w:r>
              <w:rPr>
                <w:rFonts w:hint="eastAsia" w:ascii="宋体" w:hAnsi="宋体"/>
                <w:sz w:val="24"/>
                <w:u w:val="single"/>
              </w:rPr>
              <w:t xml:space="preserve"> /  </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5.2.5</w:t>
            </w:r>
          </w:p>
        </w:tc>
        <w:tc>
          <w:tcPr>
            <w:tcW w:w="1701" w:type="dxa"/>
            <w:vAlign w:val="center"/>
          </w:tcPr>
          <w:p>
            <w:pPr>
              <w:spacing w:line="288" w:lineRule="auto"/>
              <w:jc w:val="center"/>
              <w:rPr>
                <w:rFonts w:ascii="宋体" w:hAnsi="宋体"/>
                <w:sz w:val="24"/>
              </w:rPr>
            </w:pPr>
            <w:r>
              <w:rPr>
                <w:rFonts w:ascii="宋体" w:hAnsi="宋体"/>
                <w:sz w:val="24"/>
              </w:rPr>
              <w:t>标的所属行业</w:t>
            </w:r>
          </w:p>
        </w:tc>
        <w:tc>
          <w:tcPr>
            <w:tcW w:w="7540" w:type="dxa"/>
            <w:vAlign w:val="center"/>
          </w:tcPr>
          <w:p>
            <w:pPr>
              <w:spacing w:line="288" w:lineRule="auto"/>
              <w:jc w:val="left"/>
              <w:rPr>
                <w:rFonts w:ascii="宋体" w:hAnsi="宋体"/>
                <w:sz w:val="24"/>
              </w:rPr>
            </w:pPr>
            <w:r>
              <w:rPr>
                <w:rFonts w:ascii="宋体" w:hAnsi="宋体"/>
                <w:sz w:val="24"/>
              </w:rPr>
              <w:t>本项目采购标的对应的中小企业划分标准所属行业：</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94"/>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包号</w:t>
                  </w:r>
                </w:p>
              </w:tc>
              <w:tc>
                <w:tcPr>
                  <w:tcW w:w="2394"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422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01</w:t>
                  </w:r>
                </w:p>
              </w:tc>
              <w:tc>
                <w:tcPr>
                  <w:tcW w:w="2394"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sz w:val="24"/>
                    </w:rPr>
                  </w:pPr>
                  <w:r>
                    <w:rPr>
                      <w:rFonts w:hint="eastAsia" w:ascii="宋体" w:hAnsi="宋体"/>
                      <w:sz w:val="24"/>
                    </w:rPr>
                    <w:t>一网通办系统建设</w:t>
                  </w:r>
                </w:p>
              </w:tc>
              <w:tc>
                <w:tcPr>
                  <w:tcW w:w="42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4"/>
                    </w:rPr>
                  </w:pPr>
                  <w:r>
                    <w:rPr>
                      <w:rFonts w:hint="eastAsia" w:ascii="宋体" w:hAnsi="宋体"/>
                      <w:sz w:val="24"/>
                    </w:rPr>
                    <w:t>软件和信息技术服务业</w:t>
                  </w:r>
                </w:p>
              </w:tc>
            </w:tr>
          </w:tbl>
          <w:p>
            <w:pPr>
              <w:spacing w:line="288"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11.</w:t>
            </w:r>
            <w:r>
              <w:rPr>
                <w:rFonts w:hint="eastAsia" w:hAnsi="宋体"/>
                <w:sz w:val="24"/>
                <w:szCs w:val="24"/>
              </w:rPr>
              <w:t>3</w:t>
            </w:r>
          </w:p>
        </w:tc>
        <w:tc>
          <w:tcPr>
            <w:tcW w:w="1701" w:type="dxa"/>
            <w:vAlign w:val="center"/>
          </w:tcPr>
          <w:p>
            <w:pPr>
              <w:spacing w:line="288" w:lineRule="auto"/>
              <w:jc w:val="center"/>
              <w:rPr>
                <w:rFonts w:ascii="宋体" w:hAnsi="宋体"/>
                <w:sz w:val="24"/>
              </w:rPr>
            </w:pPr>
            <w:r>
              <w:rPr>
                <w:rFonts w:hint="eastAsia" w:ascii="宋体" w:hAnsi="宋体"/>
                <w:sz w:val="24"/>
              </w:rPr>
              <w:t>投标报价</w:t>
            </w:r>
          </w:p>
        </w:tc>
        <w:tc>
          <w:tcPr>
            <w:tcW w:w="7540" w:type="dxa"/>
            <w:vAlign w:val="center"/>
          </w:tcPr>
          <w:p>
            <w:pPr>
              <w:spacing w:line="288" w:lineRule="auto"/>
              <w:jc w:val="left"/>
              <w:rPr>
                <w:rFonts w:ascii="宋体" w:hAnsi="宋体"/>
                <w:sz w:val="24"/>
              </w:rPr>
            </w:pPr>
            <w:r>
              <w:rPr>
                <w:rFonts w:hint="eastAsia" w:ascii="宋体" w:hAnsi="宋体"/>
                <w:sz w:val="24"/>
              </w:rPr>
              <w:t>投标报价的特殊规定：</w:t>
            </w:r>
          </w:p>
          <w:p>
            <w:pPr>
              <w:spacing w:line="288" w:lineRule="auto"/>
              <w:jc w:val="left"/>
              <w:rPr>
                <w:rFonts w:ascii="宋体" w:hAnsi="宋体"/>
                <w:sz w:val="24"/>
              </w:rPr>
            </w:pPr>
            <w:r>
              <w:rPr>
                <w:rFonts w:ascii="宋体" w:hAnsi="宋体"/>
                <w:b/>
                <w:color w:val="000000"/>
                <w:sz w:val="24"/>
              </w:rPr>
              <w:t>■</w:t>
            </w:r>
            <w:r>
              <w:rPr>
                <w:rFonts w:ascii="宋体" w:hAnsi="宋体"/>
                <w:sz w:val="24"/>
              </w:rPr>
              <w:t>无</w:t>
            </w:r>
          </w:p>
          <w:p>
            <w:pPr>
              <w:spacing w:line="288" w:lineRule="auto"/>
              <w:jc w:val="left"/>
              <w:rPr>
                <w:rFonts w:ascii="宋体" w:hAnsi="宋体"/>
                <w:sz w:val="24"/>
                <w:u w:val="single"/>
              </w:rPr>
            </w:pPr>
            <w:r>
              <w:rPr>
                <w:rFonts w:ascii="宋体" w:hAnsi="宋体"/>
                <w:sz w:val="24"/>
              </w:rPr>
              <w:t xml:space="preserve">□有，具体情形： </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12.1</w:t>
            </w:r>
          </w:p>
        </w:tc>
        <w:tc>
          <w:tcPr>
            <w:tcW w:w="1701" w:type="dxa"/>
            <w:vAlign w:val="center"/>
          </w:tcPr>
          <w:p>
            <w:pPr>
              <w:spacing w:line="288" w:lineRule="auto"/>
              <w:jc w:val="center"/>
              <w:rPr>
                <w:rFonts w:ascii="宋体" w:hAnsi="宋体"/>
                <w:sz w:val="24"/>
              </w:rPr>
            </w:pPr>
            <w:r>
              <w:rPr>
                <w:rFonts w:ascii="宋体" w:hAnsi="宋体"/>
                <w:sz w:val="24"/>
              </w:rPr>
              <w:t>投标保证金</w:t>
            </w:r>
          </w:p>
        </w:tc>
        <w:tc>
          <w:tcPr>
            <w:tcW w:w="7540" w:type="dxa"/>
            <w:vAlign w:val="center"/>
          </w:tcPr>
          <w:p>
            <w:pPr>
              <w:pStyle w:val="17"/>
              <w:adjustRightInd w:val="0"/>
              <w:snapToGrid w:val="0"/>
              <w:spacing w:line="288" w:lineRule="auto"/>
              <w:rPr>
                <w:rFonts w:hAnsi="宋体"/>
                <w:sz w:val="24"/>
                <w:szCs w:val="24"/>
              </w:rPr>
            </w:pPr>
            <w:r>
              <w:rPr>
                <w:rFonts w:hAnsi="宋体"/>
                <w:sz w:val="24"/>
                <w:szCs w:val="24"/>
              </w:rPr>
              <w:t>投标保证金金额：</w:t>
            </w:r>
          </w:p>
          <w:p>
            <w:pPr>
              <w:pStyle w:val="17"/>
              <w:adjustRightInd w:val="0"/>
              <w:snapToGrid w:val="0"/>
              <w:spacing w:line="288" w:lineRule="auto"/>
              <w:rPr>
                <w:rFonts w:hAnsi="宋体"/>
                <w:sz w:val="24"/>
                <w:szCs w:val="24"/>
              </w:rPr>
            </w:pPr>
            <w:r>
              <w:rPr>
                <w:rFonts w:hAnsi="宋体"/>
                <w:sz w:val="24"/>
                <w:szCs w:val="24"/>
              </w:rPr>
              <w:t>01包：</w:t>
            </w:r>
            <w:r>
              <w:rPr>
                <w:rFonts w:hAnsi="宋体"/>
                <w:sz w:val="24"/>
                <w:u w:val="single"/>
              </w:rPr>
              <w:t>人民币</w:t>
            </w:r>
            <w:r>
              <w:rPr>
                <w:rFonts w:hint="eastAsia" w:hAnsi="宋体"/>
                <w:sz w:val="24"/>
                <w:u w:val="single"/>
              </w:rPr>
              <w:t xml:space="preserve"> 36000    </w:t>
            </w:r>
            <w:r>
              <w:rPr>
                <w:rFonts w:hAnsi="宋体"/>
                <w:sz w:val="24"/>
              </w:rPr>
              <w:t>元</w:t>
            </w:r>
            <w:r>
              <w:rPr>
                <w:rFonts w:hint="eastAsia" w:hAnsi="宋体"/>
                <w:sz w:val="24"/>
              </w:rPr>
              <w:t>。</w:t>
            </w:r>
          </w:p>
          <w:p>
            <w:r>
              <w:rPr>
                <w:rFonts w:hint="eastAsia" w:hAnsi="宋体"/>
                <w:sz w:val="24"/>
              </w:rPr>
              <w:t>……</w:t>
            </w:r>
          </w:p>
          <w:p>
            <w:pPr>
              <w:spacing w:line="288" w:lineRule="auto"/>
              <w:jc w:val="left"/>
              <w:rPr>
                <w:rFonts w:ascii="宋体" w:hAnsi="宋体"/>
                <w:sz w:val="24"/>
                <w:u w:val="single"/>
              </w:rPr>
            </w:pPr>
            <w:r>
              <w:rPr>
                <w:rFonts w:ascii="宋体" w:hAnsi="宋体"/>
                <w:sz w:val="24"/>
              </w:rPr>
              <w:t>投标保证金收受人信息：</w:t>
            </w:r>
          </w:p>
          <w:p>
            <w:pPr>
              <w:spacing w:line="288" w:lineRule="auto"/>
              <w:jc w:val="left"/>
              <w:rPr>
                <w:rFonts w:ascii="宋体" w:hAnsi="宋体"/>
                <w:sz w:val="24"/>
              </w:rPr>
            </w:pPr>
            <w:r>
              <w:rPr>
                <w:rFonts w:hint="eastAsia" w:ascii="宋体" w:hAnsi="宋体"/>
                <w:sz w:val="24"/>
              </w:rPr>
              <w:t>收款单位：北京国际工程咨询有限公司；</w:t>
            </w:r>
          </w:p>
          <w:p>
            <w:pPr>
              <w:spacing w:line="288" w:lineRule="auto"/>
              <w:jc w:val="left"/>
              <w:rPr>
                <w:rFonts w:ascii="宋体" w:hAnsi="宋体"/>
                <w:sz w:val="24"/>
              </w:rPr>
            </w:pPr>
            <w:r>
              <w:rPr>
                <w:rFonts w:hint="eastAsia" w:ascii="宋体" w:hAnsi="宋体"/>
                <w:sz w:val="24"/>
              </w:rPr>
              <w:t xml:space="preserve">开户行：华夏银行北京学院路支行； </w:t>
            </w:r>
          </w:p>
          <w:p>
            <w:pPr>
              <w:spacing w:line="288" w:lineRule="auto"/>
              <w:jc w:val="left"/>
              <w:rPr>
                <w:rFonts w:ascii="宋体" w:hAnsi="宋体"/>
                <w:sz w:val="24"/>
              </w:rPr>
            </w:pPr>
            <w:r>
              <w:rPr>
                <w:rFonts w:hint="eastAsia" w:ascii="宋体" w:hAnsi="宋体"/>
                <w:sz w:val="24"/>
              </w:rPr>
              <w:t>账号：10242000000002546。</w:t>
            </w:r>
          </w:p>
          <w:p>
            <w:pPr>
              <w:spacing w:line="288" w:lineRule="auto"/>
              <w:jc w:val="left"/>
              <w:rPr>
                <w:rFonts w:ascii="宋体" w:hAnsi="宋体"/>
                <w:sz w:val="24"/>
              </w:rPr>
            </w:pPr>
            <w:r>
              <w:rPr>
                <w:rFonts w:hint="eastAsia" w:ascii="宋体" w:hAnsi="宋体"/>
                <w:sz w:val="24"/>
              </w:rPr>
              <w:t>注：汇款或转账时请务必附言“项目编号+包号+用途”，例如：23ZB0295-1保证金。</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int="eastAsia" w:hAnsi="宋体"/>
                <w:sz w:val="24"/>
                <w:szCs w:val="24"/>
              </w:rPr>
              <w:t>12.5</w:t>
            </w:r>
          </w:p>
        </w:tc>
        <w:tc>
          <w:tcPr>
            <w:tcW w:w="1701" w:type="dxa"/>
            <w:vMerge w:val="restart"/>
            <w:vAlign w:val="center"/>
          </w:tcPr>
          <w:p>
            <w:pPr>
              <w:spacing w:line="288" w:lineRule="auto"/>
              <w:jc w:val="center"/>
              <w:rPr>
                <w:rFonts w:ascii="宋体" w:hAnsi="宋体"/>
                <w:sz w:val="24"/>
              </w:rPr>
            </w:pPr>
          </w:p>
        </w:tc>
        <w:tc>
          <w:tcPr>
            <w:tcW w:w="7540" w:type="dxa"/>
            <w:vAlign w:val="center"/>
          </w:tcPr>
          <w:p>
            <w:pPr>
              <w:spacing w:line="360" w:lineRule="auto"/>
              <w:rPr>
                <w:b/>
                <w:bCs/>
                <w:sz w:val="24"/>
              </w:rPr>
            </w:pPr>
            <w:r>
              <w:rPr>
                <w:rFonts w:hint="eastAsia"/>
                <w:b/>
                <w:bCs/>
                <w:sz w:val="24"/>
              </w:rPr>
              <w:t>中标人的保证金退还：</w:t>
            </w:r>
          </w:p>
          <w:p>
            <w:pPr>
              <w:spacing w:line="360" w:lineRule="auto"/>
              <w:rPr>
                <w:sz w:val="24"/>
              </w:rPr>
            </w:pPr>
            <w:r>
              <w:rPr>
                <w:rFonts w:hint="eastAsia"/>
                <w:sz w:val="24"/>
              </w:rPr>
              <w:t>合同签订后</w:t>
            </w:r>
            <w:r>
              <w:rPr>
                <w:sz w:val="24"/>
              </w:rPr>
              <w:t>2个工作日内，请将合同扫描件发送到</w:t>
            </w:r>
            <w:r>
              <w:rPr>
                <w:rFonts w:hint="eastAsia"/>
                <w:sz w:val="24"/>
              </w:rPr>
              <w:t>jowena@163.com</w:t>
            </w:r>
            <w:r>
              <w:rPr>
                <w:sz w:val="24"/>
              </w:rPr>
              <w:t>邮箱办理相关备案及保证金退还手续，保证金将在合同签订的5个工作日内退回来款账户。</w:t>
            </w:r>
          </w:p>
          <w:p>
            <w:pPr>
              <w:pStyle w:val="17"/>
              <w:adjustRightInd w:val="0"/>
              <w:snapToGrid w:val="0"/>
              <w:spacing w:line="288" w:lineRule="auto"/>
              <w:rPr>
                <w:rFonts w:hAnsi="宋体"/>
                <w:sz w:val="24"/>
              </w:rPr>
            </w:pPr>
            <w:r>
              <w:rPr>
                <w:rFonts w:hint="eastAsia"/>
                <w:b/>
                <w:bCs/>
                <w:sz w:val="24"/>
                <w:szCs w:val="24"/>
                <w:u w:val="single"/>
              </w:rPr>
              <w:t>邮件标题格式：</w:t>
            </w:r>
            <w:r>
              <w:rPr>
                <w:rFonts w:hint="eastAsia"/>
                <w:sz w:val="24"/>
                <w:szCs w:val="24"/>
              </w:rPr>
              <w:t>项目编号+退还投标保证金+供应商名称+已签订采购合同。内附：（1）采购合同扫描件；（</w:t>
            </w:r>
            <w:r>
              <w:rPr>
                <w:sz w:val="24"/>
                <w:szCs w:val="24"/>
              </w:rPr>
              <w:t>2</w:t>
            </w:r>
            <w:r>
              <w:rPr>
                <w:rFonts w:hint="eastAsia"/>
                <w:sz w:val="24"/>
                <w:szCs w:val="24"/>
              </w:rPr>
              <w:t>）</w:t>
            </w:r>
            <w:r>
              <w:rPr>
                <w:sz w:val="24"/>
                <w:szCs w:val="24"/>
              </w:rPr>
              <w:t>项目编号</w:t>
            </w:r>
            <w:r>
              <w:rPr>
                <w:rFonts w:hint="eastAsia"/>
                <w:sz w:val="24"/>
                <w:szCs w:val="24"/>
              </w:rPr>
              <w:t>；（</w:t>
            </w:r>
            <w:r>
              <w:rPr>
                <w:sz w:val="24"/>
                <w:szCs w:val="24"/>
              </w:rPr>
              <w:t>3</w:t>
            </w:r>
            <w:r>
              <w:rPr>
                <w:rFonts w:hint="eastAsia"/>
                <w:sz w:val="24"/>
                <w:szCs w:val="24"/>
              </w:rPr>
              <w:t>）</w:t>
            </w:r>
            <w:r>
              <w:rPr>
                <w:sz w:val="24"/>
                <w:szCs w:val="24"/>
              </w:rPr>
              <w:t>中标供应商名称</w:t>
            </w:r>
            <w:r>
              <w:rPr>
                <w:rFonts w:hint="eastAsia"/>
                <w:sz w:val="24"/>
                <w:szCs w:val="24"/>
              </w:rPr>
              <w:t>；（</w:t>
            </w:r>
            <w:r>
              <w:rPr>
                <w:sz w:val="24"/>
                <w:szCs w:val="24"/>
              </w:rPr>
              <w:t>4</w:t>
            </w:r>
            <w:r>
              <w:rPr>
                <w:rFonts w:hint="eastAsia"/>
                <w:sz w:val="24"/>
                <w:szCs w:val="24"/>
              </w:rPr>
              <w:t>）</w:t>
            </w:r>
            <w:r>
              <w:rPr>
                <w:sz w:val="24"/>
                <w:szCs w:val="24"/>
              </w:rPr>
              <w:t>采购合同签订日期</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int="eastAsia" w:hAnsi="宋体"/>
                <w:sz w:val="24"/>
                <w:szCs w:val="24"/>
              </w:rPr>
              <w:t>12.6</w:t>
            </w:r>
          </w:p>
        </w:tc>
        <w:tc>
          <w:tcPr>
            <w:tcW w:w="1701" w:type="dxa"/>
            <w:vMerge w:val="continue"/>
            <w:vAlign w:val="center"/>
          </w:tcPr>
          <w:p>
            <w:pPr>
              <w:spacing w:line="288" w:lineRule="auto"/>
              <w:jc w:val="center"/>
              <w:rPr>
                <w:rFonts w:ascii="宋体" w:hAnsi="宋体"/>
                <w:sz w:val="24"/>
              </w:rPr>
            </w:pPr>
          </w:p>
        </w:tc>
        <w:tc>
          <w:tcPr>
            <w:tcW w:w="7540" w:type="dxa"/>
            <w:vAlign w:val="center"/>
          </w:tcPr>
          <w:p>
            <w:pPr>
              <w:spacing w:line="288" w:lineRule="auto"/>
              <w:jc w:val="left"/>
              <w:rPr>
                <w:rFonts w:ascii="宋体" w:hAnsi="宋体"/>
                <w:sz w:val="24"/>
              </w:rPr>
            </w:pPr>
            <w:r>
              <w:rPr>
                <w:rFonts w:ascii="宋体" w:hAnsi="宋体"/>
                <w:sz w:val="24"/>
              </w:rPr>
              <w:t>投标保证金可以不予退还的其他情形：</w:t>
            </w:r>
          </w:p>
          <w:p>
            <w:pPr>
              <w:spacing w:line="288" w:lineRule="auto"/>
              <w:jc w:val="left"/>
              <w:rPr>
                <w:rFonts w:ascii="宋体" w:hAnsi="宋体"/>
                <w:sz w:val="24"/>
              </w:rPr>
            </w:pPr>
            <w:r>
              <w:rPr>
                <w:rFonts w:hAnsi="宋体"/>
                <w:b/>
                <w:color w:val="000000"/>
                <w:sz w:val="24"/>
              </w:rPr>
              <w:t>■</w:t>
            </w:r>
            <w:r>
              <w:rPr>
                <w:rFonts w:ascii="宋体" w:hAnsi="宋体"/>
                <w:sz w:val="24"/>
              </w:rPr>
              <w:t>无</w:t>
            </w:r>
          </w:p>
          <w:p>
            <w:pPr>
              <w:pStyle w:val="17"/>
              <w:adjustRightInd w:val="0"/>
              <w:snapToGrid w:val="0"/>
              <w:spacing w:line="288" w:lineRule="auto"/>
              <w:rPr>
                <w:rFonts w:hAnsi="宋体"/>
                <w:sz w:val="24"/>
                <w:szCs w:val="24"/>
                <w:u w:val="single"/>
              </w:rPr>
            </w:pPr>
            <w:r>
              <w:rPr>
                <w:rFonts w:hAnsi="宋体"/>
                <w:sz w:val="24"/>
              </w:rPr>
              <w:t>□</w:t>
            </w:r>
            <w:r>
              <w:rPr>
                <w:rFonts w:hAnsi="宋体"/>
                <w:sz w:val="24"/>
                <w:szCs w:val="24"/>
              </w:rPr>
              <w:t>有，具体情形：</w:t>
            </w:r>
            <w:r>
              <w:rPr>
                <w:rFonts w:hint="eastAsia"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13.1</w:t>
            </w:r>
          </w:p>
        </w:tc>
        <w:tc>
          <w:tcPr>
            <w:tcW w:w="1701" w:type="dxa"/>
            <w:vAlign w:val="center"/>
          </w:tcPr>
          <w:p>
            <w:pPr>
              <w:spacing w:line="288" w:lineRule="auto"/>
              <w:jc w:val="center"/>
              <w:rPr>
                <w:rFonts w:ascii="宋体" w:hAnsi="宋体"/>
                <w:sz w:val="24"/>
              </w:rPr>
            </w:pPr>
            <w:r>
              <w:rPr>
                <w:rFonts w:ascii="宋体" w:hAnsi="宋体"/>
                <w:sz w:val="24"/>
              </w:rPr>
              <w:t>投标有效期</w:t>
            </w:r>
          </w:p>
        </w:tc>
        <w:tc>
          <w:tcPr>
            <w:tcW w:w="7540" w:type="dxa"/>
            <w:vAlign w:val="center"/>
          </w:tcPr>
          <w:p>
            <w:pPr>
              <w:spacing w:line="288"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sz w:val="24"/>
                <w:szCs w:val="24"/>
              </w:rPr>
            </w:pPr>
            <w:r>
              <w:rPr>
                <w:rFonts w:hAnsi="宋体"/>
                <w:sz w:val="24"/>
                <w:szCs w:val="24"/>
              </w:rPr>
              <w:t>14.1</w:t>
            </w:r>
          </w:p>
        </w:tc>
        <w:tc>
          <w:tcPr>
            <w:tcW w:w="1701" w:type="dxa"/>
            <w:vAlign w:val="center"/>
          </w:tcPr>
          <w:p>
            <w:pPr>
              <w:spacing w:line="288" w:lineRule="auto"/>
              <w:jc w:val="center"/>
              <w:rPr>
                <w:rFonts w:ascii="宋体" w:hAnsi="宋体"/>
                <w:sz w:val="24"/>
              </w:rPr>
            </w:pPr>
            <w:r>
              <w:rPr>
                <w:rFonts w:hint="eastAsia" w:ascii="宋体" w:hAnsi="宋体"/>
                <w:sz w:val="24"/>
              </w:rPr>
              <w:t>投标文件份数</w:t>
            </w:r>
          </w:p>
        </w:tc>
        <w:tc>
          <w:tcPr>
            <w:tcW w:w="7540" w:type="dxa"/>
            <w:vAlign w:val="center"/>
          </w:tcPr>
          <w:p>
            <w:pPr>
              <w:pStyle w:val="17"/>
              <w:tabs>
                <w:tab w:val="left" w:pos="2240"/>
              </w:tabs>
              <w:spacing w:line="360" w:lineRule="auto"/>
              <w:rPr>
                <w:rFonts w:hAnsi="宋体"/>
                <w:b/>
                <w:bCs/>
                <w:sz w:val="24"/>
                <w:szCs w:val="24"/>
              </w:rPr>
            </w:pPr>
            <w:r>
              <w:rPr>
                <w:rFonts w:hint="eastAsia" w:hAnsi="宋体"/>
                <w:b/>
                <w:bCs/>
                <w:sz w:val="24"/>
                <w:szCs w:val="24"/>
              </w:rPr>
              <w:t>投标文件：正本：</w:t>
            </w:r>
            <w:r>
              <w:rPr>
                <w:rFonts w:hAnsi="宋体"/>
                <w:b/>
                <w:bCs/>
                <w:sz w:val="24"/>
                <w:szCs w:val="24"/>
              </w:rPr>
              <w:t>1份；副本：5份；电子</w:t>
            </w:r>
            <w:r>
              <w:rPr>
                <w:rFonts w:hint="eastAsia" w:hAnsi="宋体"/>
                <w:b/>
                <w:bCs/>
                <w:sz w:val="24"/>
                <w:szCs w:val="24"/>
              </w:rPr>
              <w:t>版</w:t>
            </w:r>
            <w:r>
              <w:rPr>
                <w:rFonts w:hAnsi="宋体"/>
                <w:b/>
                <w:bCs/>
                <w:sz w:val="24"/>
                <w:szCs w:val="24"/>
              </w:rPr>
              <w:t>：1份。</w:t>
            </w:r>
          </w:p>
          <w:p>
            <w:pPr>
              <w:pStyle w:val="17"/>
              <w:tabs>
                <w:tab w:val="left" w:pos="2240"/>
              </w:tabs>
              <w:spacing w:line="360" w:lineRule="auto"/>
              <w:rPr>
                <w:rFonts w:hAnsi="宋体"/>
                <w:sz w:val="24"/>
                <w:szCs w:val="24"/>
              </w:rPr>
            </w:pPr>
            <w:r>
              <w:rPr>
                <w:rFonts w:hint="eastAsia" w:hAnsi="宋体"/>
                <w:sz w:val="24"/>
                <w:szCs w:val="24"/>
              </w:rPr>
              <w:t>电子版应包括如下文档内容：</w:t>
            </w:r>
          </w:p>
          <w:p>
            <w:pPr>
              <w:pStyle w:val="17"/>
              <w:tabs>
                <w:tab w:val="left" w:pos="2240"/>
              </w:tabs>
              <w:spacing w:line="360" w:lineRule="auto"/>
              <w:rPr>
                <w:rFonts w:hAnsi="宋体"/>
                <w:sz w:val="24"/>
                <w:szCs w:val="24"/>
              </w:rPr>
            </w:pPr>
            <w:r>
              <w:rPr>
                <w:rFonts w:hint="eastAsia" w:hAnsi="宋体"/>
                <w:sz w:val="24"/>
                <w:szCs w:val="24"/>
              </w:rPr>
              <w:t>（1）投标文件PDF格式文件，应包含正本所有内容的清晰扫描件（含签字盖章）；</w:t>
            </w:r>
          </w:p>
          <w:p>
            <w:pPr>
              <w:pStyle w:val="17"/>
              <w:tabs>
                <w:tab w:val="left" w:pos="2240"/>
              </w:tabs>
              <w:spacing w:line="360" w:lineRule="auto"/>
              <w:rPr>
                <w:rFonts w:hAnsi="宋体"/>
                <w:sz w:val="24"/>
                <w:szCs w:val="24"/>
              </w:rPr>
            </w:pPr>
            <w:r>
              <w:rPr>
                <w:rFonts w:hint="eastAsia" w:hAnsi="宋体"/>
                <w:sz w:val="24"/>
                <w:szCs w:val="24"/>
              </w:rPr>
              <w:t>（2）投标文件word格式可编辑版本；</w:t>
            </w:r>
          </w:p>
          <w:p>
            <w:pPr>
              <w:pStyle w:val="17"/>
              <w:tabs>
                <w:tab w:val="left" w:pos="2240"/>
              </w:tabs>
              <w:spacing w:line="360" w:lineRule="auto"/>
              <w:rPr>
                <w:rFonts w:hAnsi="宋体"/>
                <w:sz w:val="24"/>
                <w:szCs w:val="24"/>
              </w:rPr>
            </w:pPr>
            <w:r>
              <w:rPr>
                <w:rFonts w:hint="eastAsia" w:hAnsi="宋体"/>
                <w:sz w:val="24"/>
                <w:szCs w:val="24"/>
              </w:rPr>
              <w:t>（3）电子版投标文件以U盘形式提交。</w:t>
            </w:r>
          </w:p>
          <w:p>
            <w:pPr>
              <w:pStyle w:val="17"/>
              <w:tabs>
                <w:tab w:val="left" w:pos="2240"/>
              </w:tabs>
              <w:spacing w:line="360" w:lineRule="auto"/>
            </w:pPr>
            <w:r>
              <w:rPr>
                <w:rFonts w:hint="eastAsia" w:hAnsi="宋体"/>
                <w:b/>
                <w:bCs/>
                <w:sz w:val="24"/>
                <w:szCs w:val="24"/>
              </w:rPr>
              <w:t>注意：电子文档内容和对应的正本必须完全一致，因电子文档与正本文件不一致产生的后果由投标人自行承担。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color w:val="000000"/>
                <w:sz w:val="24"/>
                <w:szCs w:val="24"/>
              </w:rPr>
            </w:pPr>
            <w:r>
              <w:rPr>
                <w:rFonts w:hAnsi="宋体"/>
                <w:color w:val="000000"/>
                <w:sz w:val="24"/>
                <w:szCs w:val="24"/>
              </w:rPr>
              <w:t>22.1</w:t>
            </w:r>
          </w:p>
        </w:tc>
        <w:tc>
          <w:tcPr>
            <w:tcW w:w="1701" w:type="dxa"/>
            <w:vAlign w:val="center"/>
          </w:tcPr>
          <w:p>
            <w:pPr>
              <w:spacing w:line="288" w:lineRule="auto"/>
              <w:jc w:val="center"/>
              <w:rPr>
                <w:rFonts w:ascii="宋体" w:hAnsi="宋体"/>
                <w:sz w:val="24"/>
              </w:rPr>
            </w:pPr>
            <w:r>
              <w:rPr>
                <w:rFonts w:ascii="宋体" w:hAnsi="宋体"/>
                <w:color w:val="000000"/>
                <w:sz w:val="24"/>
              </w:rPr>
              <w:t>确定中标人</w:t>
            </w:r>
          </w:p>
        </w:tc>
        <w:tc>
          <w:tcPr>
            <w:tcW w:w="7540" w:type="dxa"/>
            <w:vAlign w:val="center"/>
          </w:tcPr>
          <w:p>
            <w:pPr>
              <w:pStyle w:val="17"/>
              <w:adjustRightInd w:val="0"/>
              <w:snapToGrid w:val="0"/>
              <w:spacing w:line="288" w:lineRule="auto"/>
              <w:rPr>
                <w:rFonts w:hAnsi="宋体"/>
                <w:sz w:val="24"/>
                <w:szCs w:val="24"/>
              </w:rPr>
            </w:pPr>
            <w:r>
              <w:rPr>
                <w:rFonts w:hAnsi="宋体"/>
                <w:sz w:val="24"/>
                <w:szCs w:val="24"/>
              </w:rPr>
              <w:t>中标候选人并列的，采购人是否委托评标委员会确定中标人：</w:t>
            </w:r>
          </w:p>
          <w:p>
            <w:pPr>
              <w:pStyle w:val="17"/>
              <w:adjustRightInd w:val="0"/>
              <w:snapToGrid w:val="0"/>
              <w:spacing w:line="288" w:lineRule="auto"/>
              <w:rPr>
                <w:rFonts w:hAnsi="宋体"/>
                <w:sz w:val="24"/>
                <w:szCs w:val="24"/>
              </w:rPr>
            </w:pPr>
            <w:r>
              <w:rPr>
                <w:rFonts w:hAnsi="宋体"/>
                <w:b/>
                <w:color w:val="000000"/>
                <w:sz w:val="24"/>
                <w:szCs w:val="24"/>
              </w:rPr>
              <w:t>■</w:t>
            </w:r>
            <w:r>
              <w:rPr>
                <w:rFonts w:hAnsi="宋体"/>
                <w:sz w:val="24"/>
                <w:szCs w:val="24"/>
              </w:rPr>
              <w:t>否</w:t>
            </w:r>
          </w:p>
          <w:p>
            <w:pPr>
              <w:pStyle w:val="17"/>
              <w:adjustRightInd w:val="0"/>
              <w:snapToGrid w:val="0"/>
              <w:spacing w:line="288" w:lineRule="auto"/>
              <w:rPr>
                <w:rFonts w:hAnsi="宋体"/>
                <w:sz w:val="24"/>
                <w:szCs w:val="24"/>
              </w:rPr>
            </w:pPr>
            <w:r>
              <w:rPr>
                <w:rFonts w:hAnsi="宋体"/>
                <w:sz w:val="24"/>
                <w:szCs w:val="24"/>
              </w:rPr>
              <w:t>□是</w:t>
            </w:r>
          </w:p>
          <w:p>
            <w:pPr>
              <w:pStyle w:val="17"/>
              <w:adjustRightInd w:val="0"/>
              <w:snapToGrid w:val="0"/>
              <w:spacing w:line="288" w:lineRule="auto"/>
              <w:rPr>
                <w:rFonts w:hAnsi="宋体"/>
                <w:sz w:val="24"/>
                <w:szCs w:val="24"/>
              </w:rPr>
            </w:pPr>
            <w:r>
              <w:rPr>
                <w:rFonts w:hAnsi="宋体"/>
                <w:sz w:val="24"/>
                <w:szCs w:val="24"/>
              </w:rPr>
              <w:t>中标候选人并列的，按照以下方式确定中标人：</w:t>
            </w:r>
          </w:p>
          <w:p>
            <w:pPr>
              <w:pStyle w:val="17"/>
              <w:adjustRightInd w:val="0"/>
              <w:snapToGrid w:val="0"/>
              <w:spacing w:line="288" w:lineRule="auto"/>
              <w:rPr>
                <w:rFonts w:hAnsi="宋体"/>
                <w:sz w:val="24"/>
                <w:szCs w:val="24"/>
              </w:rPr>
            </w:pPr>
            <w:r>
              <w:rPr>
                <w:rFonts w:hAnsi="宋体"/>
                <w:b/>
                <w:color w:val="000000"/>
                <w:sz w:val="24"/>
              </w:rPr>
              <w:t>■</w:t>
            </w:r>
            <w:r>
              <w:rPr>
                <w:rFonts w:hAnsi="宋体"/>
                <w:sz w:val="24"/>
                <w:szCs w:val="24"/>
              </w:rPr>
              <w:t>得分且投标报价均相同的，以</w:t>
            </w:r>
            <w:r>
              <w:rPr>
                <w:rFonts w:hAnsi="宋体"/>
                <w:sz w:val="24"/>
                <w:szCs w:val="24"/>
                <w:u w:val="single"/>
              </w:rPr>
              <w:t>技术部分</w:t>
            </w:r>
            <w:r>
              <w:rPr>
                <w:rFonts w:hAnsi="宋体"/>
                <w:sz w:val="24"/>
                <w:szCs w:val="24"/>
              </w:rPr>
              <w:t>得分高者为中标人</w:t>
            </w:r>
          </w:p>
          <w:p>
            <w:pPr>
              <w:spacing w:line="288" w:lineRule="auto"/>
              <w:jc w:val="left"/>
              <w:rPr>
                <w:rFonts w:ascii="宋体" w:hAnsi="宋体"/>
                <w:sz w:val="24"/>
              </w:rPr>
            </w:pPr>
            <w:r>
              <w:rPr>
                <w:rFonts w:ascii="宋体" w:hAnsi="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color w:val="000000"/>
                <w:sz w:val="24"/>
                <w:szCs w:val="24"/>
              </w:rPr>
            </w:pPr>
            <w:r>
              <w:rPr>
                <w:rFonts w:hAnsi="宋体"/>
                <w:color w:val="000000"/>
                <w:sz w:val="24"/>
                <w:szCs w:val="24"/>
              </w:rPr>
              <w:t>25.</w:t>
            </w:r>
            <w:r>
              <w:rPr>
                <w:rFonts w:hint="eastAsia" w:hAnsi="宋体"/>
                <w:color w:val="000000"/>
                <w:sz w:val="24"/>
                <w:szCs w:val="24"/>
              </w:rPr>
              <w:t>6</w:t>
            </w:r>
          </w:p>
        </w:tc>
        <w:tc>
          <w:tcPr>
            <w:tcW w:w="1701" w:type="dxa"/>
            <w:vAlign w:val="center"/>
          </w:tcPr>
          <w:p>
            <w:pPr>
              <w:spacing w:line="288" w:lineRule="auto"/>
              <w:jc w:val="center"/>
              <w:rPr>
                <w:rFonts w:ascii="宋体" w:hAnsi="宋体"/>
                <w:sz w:val="24"/>
              </w:rPr>
            </w:pPr>
            <w:r>
              <w:rPr>
                <w:rFonts w:ascii="宋体" w:hAnsi="宋体"/>
                <w:sz w:val="24"/>
              </w:rPr>
              <w:t>分包</w:t>
            </w:r>
          </w:p>
        </w:tc>
        <w:tc>
          <w:tcPr>
            <w:tcW w:w="7540" w:type="dxa"/>
            <w:vAlign w:val="center"/>
          </w:tcPr>
          <w:p>
            <w:pPr>
              <w:spacing w:line="288" w:lineRule="auto"/>
              <w:jc w:val="left"/>
              <w:rPr>
                <w:rFonts w:ascii="宋体" w:hAnsi="宋体"/>
                <w:sz w:val="24"/>
              </w:rPr>
            </w:pPr>
            <w:r>
              <w:rPr>
                <w:rFonts w:ascii="宋体" w:hAnsi="宋体"/>
                <w:sz w:val="24"/>
              </w:rPr>
              <w:t xml:space="preserve">本项目的非主体、非关键性工作是否允许分包： </w:t>
            </w:r>
          </w:p>
          <w:p>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pPr>
              <w:spacing w:line="288" w:lineRule="auto"/>
              <w:jc w:val="left"/>
              <w:rPr>
                <w:rFonts w:ascii="宋体" w:hAnsi="宋体"/>
                <w:sz w:val="24"/>
              </w:rPr>
            </w:pPr>
            <w:r>
              <w:rPr>
                <w:rFonts w:ascii="宋体" w:hAnsi="宋体"/>
                <w:sz w:val="24"/>
              </w:rPr>
              <w:t>□允许，具体要求：</w:t>
            </w:r>
          </w:p>
          <w:p>
            <w:pPr>
              <w:spacing w:line="288" w:lineRule="auto"/>
              <w:jc w:val="left"/>
              <w:rPr>
                <w:rFonts w:ascii="宋体" w:hAnsi="宋体"/>
                <w:sz w:val="24"/>
              </w:rPr>
            </w:pPr>
            <w:r>
              <w:rPr>
                <w:rFonts w:ascii="宋体" w:hAnsi="宋体"/>
                <w:sz w:val="24"/>
              </w:rPr>
              <w:t>（1）可以分包履行的具体内容：_____；</w:t>
            </w:r>
          </w:p>
          <w:p>
            <w:pPr>
              <w:spacing w:line="288" w:lineRule="auto"/>
              <w:jc w:val="left"/>
              <w:rPr>
                <w:rFonts w:ascii="宋体" w:hAnsi="宋体"/>
                <w:sz w:val="24"/>
              </w:rPr>
            </w:pPr>
            <w:r>
              <w:rPr>
                <w:rFonts w:ascii="宋体" w:hAnsi="宋体"/>
                <w:sz w:val="24"/>
              </w:rPr>
              <w:t>（2）允许分包的金额或者比例：_____；</w:t>
            </w:r>
          </w:p>
          <w:p>
            <w:pPr>
              <w:spacing w:line="288" w:lineRule="auto"/>
              <w:jc w:val="left"/>
              <w:rPr>
                <w:rFonts w:ascii="宋体" w:hAnsi="宋体"/>
                <w:sz w:val="24"/>
                <w:u w:val="single"/>
              </w:rPr>
            </w:pPr>
            <w:r>
              <w:rPr>
                <w:rFonts w:ascii="宋体" w:hAnsi="宋体"/>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color w:val="000000"/>
                <w:sz w:val="24"/>
                <w:szCs w:val="24"/>
              </w:rPr>
            </w:pPr>
            <w:r>
              <w:rPr>
                <w:rFonts w:hAnsi="宋体"/>
                <w:color w:val="000000"/>
                <w:sz w:val="24"/>
                <w:szCs w:val="24"/>
              </w:rPr>
              <w:t>26.1.1</w:t>
            </w:r>
          </w:p>
        </w:tc>
        <w:tc>
          <w:tcPr>
            <w:tcW w:w="1701" w:type="dxa"/>
            <w:vAlign w:val="center"/>
          </w:tcPr>
          <w:p>
            <w:pPr>
              <w:spacing w:line="288" w:lineRule="auto"/>
              <w:jc w:val="center"/>
              <w:rPr>
                <w:rFonts w:ascii="宋体" w:hAnsi="宋体"/>
                <w:sz w:val="24"/>
              </w:rPr>
            </w:pPr>
            <w:r>
              <w:rPr>
                <w:rFonts w:ascii="宋体" w:hAnsi="宋体"/>
                <w:sz w:val="24"/>
              </w:rPr>
              <w:t>询问</w:t>
            </w:r>
          </w:p>
        </w:tc>
        <w:tc>
          <w:tcPr>
            <w:tcW w:w="7540" w:type="dxa"/>
            <w:vAlign w:val="center"/>
          </w:tcPr>
          <w:p>
            <w:pPr>
              <w:spacing w:line="288" w:lineRule="auto"/>
              <w:jc w:val="left"/>
              <w:rPr>
                <w:rFonts w:ascii="宋体" w:hAnsi="宋体"/>
                <w:sz w:val="24"/>
              </w:rPr>
            </w:pPr>
            <w:r>
              <w:rPr>
                <w:rFonts w:ascii="宋体" w:hAnsi="宋体"/>
                <w:sz w:val="24"/>
              </w:rPr>
              <w:t>询问送达形式：</w:t>
            </w:r>
            <w:r>
              <w:rPr>
                <w:rFonts w:hint="eastAsia" w:ascii="宋体" w:hAnsi="宋体"/>
                <w:sz w:val="24"/>
                <w:u w:val="singl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17"/>
              <w:adjustRightInd w:val="0"/>
              <w:snapToGrid w:val="0"/>
              <w:spacing w:line="288" w:lineRule="auto"/>
              <w:jc w:val="center"/>
              <w:rPr>
                <w:rFonts w:hAnsi="宋体"/>
                <w:color w:val="000000"/>
                <w:sz w:val="24"/>
                <w:szCs w:val="24"/>
              </w:rPr>
            </w:pPr>
            <w:r>
              <w:rPr>
                <w:rFonts w:hAnsi="宋体"/>
                <w:color w:val="000000"/>
                <w:sz w:val="24"/>
                <w:szCs w:val="24"/>
              </w:rPr>
              <w:t>26.3</w:t>
            </w:r>
          </w:p>
        </w:tc>
        <w:tc>
          <w:tcPr>
            <w:tcW w:w="1701" w:type="dxa"/>
            <w:vAlign w:val="center"/>
          </w:tcPr>
          <w:p>
            <w:pPr>
              <w:spacing w:line="288" w:lineRule="auto"/>
              <w:jc w:val="center"/>
              <w:rPr>
                <w:rFonts w:ascii="宋体" w:hAnsi="宋体"/>
                <w:sz w:val="24"/>
              </w:rPr>
            </w:pPr>
            <w:r>
              <w:rPr>
                <w:rFonts w:ascii="宋体" w:hAnsi="宋体"/>
                <w:sz w:val="24"/>
              </w:rPr>
              <w:t>联系方式</w:t>
            </w:r>
          </w:p>
        </w:tc>
        <w:tc>
          <w:tcPr>
            <w:tcW w:w="7540" w:type="dxa"/>
            <w:vAlign w:val="center"/>
          </w:tcPr>
          <w:p>
            <w:pPr>
              <w:spacing w:line="288" w:lineRule="auto"/>
              <w:jc w:val="left"/>
              <w:rPr>
                <w:rFonts w:ascii="宋体" w:hAnsi="宋体"/>
                <w:sz w:val="24"/>
              </w:rPr>
            </w:pPr>
            <w:r>
              <w:rPr>
                <w:rFonts w:ascii="宋体" w:hAnsi="宋体"/>
                <w:sz w:val="24"/>
              </w:rPr>
              <w:t>接收询问和质疑的联系方式</w:t>
            </w:r>
          </w:p>
          <w:p>
            <w:pPr>
              <w:jc w:val="left"/>
              <w:rPr>
                <w:sz w:val="24"/>
              </w:rPr>
            </w:pPr>
            <w:r>
              <w:rPr>
                <w:sz w:val="24"/>
              </w:rPr>
              <w:t>联系部门：</w:t>
            </w:r>
            <w:r>
              <w:rPr>
                <w:rFonts w:hint="eastAsia"/>
                <w:sz w:val="24"/>
                <w:u w:val="single"/>
              </w:rPr>
              <w:t>北京国际工程咨询有限公司</w:t>
            </w:r>
            <w:r>
              <w:rPr>
                <w:sz w:val="24"/>
              </w:rPr>
              <w:t>；</w:t>
            </w:r>
          </w:p>
          <w:p>
            <w:pPr>
              <w:jc w:val="left"/>
              <w:rPr>
                <w:sz w:val="24"/>
              </w:rPr>
            </w:pPr>
            <w:r>
              <w:rPr>
                <w:sz w:val="24"/>
              </w:rPr>
              <w:t>联系电话：</w:t>
            </w:r>
            <w:r>
              <w:rPr>
                <w:rFonts w:hint="eastAsia"/>
                <w:sz w:val="24"/>
                <w:u w:val="single"/>
              </w:rPr>
              <w:t>82376733</w:t>
            </w:r>
            <w:r>
              <w:rPr>
                <w:sz w:val="24"/>
              </w:rPr>
              <w:t>；</w:t>
            </w:r>
          </w:p>
          <w:p>
            <w:pPr>
              <w:spacing w:line="288" w:lineRule="auto"/>
              <w:jc w:val="left"/>
              <w:rPr>
                <w:rFonts w:ascii="宋体" w:hAnsi="宋体"/>
                <w:sz w:val="24"/>
              </w:rPr>
            </w:pPr>
            <w:r>
              <w:rPr>
                <w:sz w:val="24"/>
              </w:rPr>
              <w:t>通讯地址：</w:t>
            </w:r>
            <w:r>
              <w:rPr>
                <w:rFonts w:hint="eastAsia"/>
                <w:sz w:val="24"/>
                <w:u w:val="single"/>
              </w:rPr>
              <w:t>北京市海淀区学院路30号科大天工大厦A座六层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288" w:lineRule="auto"/>
              <w:jc w:val="center"/>
              <w:rPr>
                <w:rFonts w:hAnsi="宋体"/>
                <w:color w:val="000000"/>
                <w:sz w:val="24"/>
                <w:szCs w:val="24"/>
              </w:rPr>
            </w:pPr>
            <w:r>
              <w:rPr>
                <w:rFonts w:hAnsi="宋体"/>
                <w:color w:val="00000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4"/>
              </w:rPr>
            </w:pPr>
            <w:r>
              <w:rPr>
                <w:rFonts w:ascii="宋体" w:hAnsi="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sz w:val="24"/>
              </w:rPr>
            </w:pPr>
            <w:r>
              <w:rPr>
                <w:rFonts w:ascii="宋体" w:hAnsi="宋体"/>
                <w:sz w:val="24"/>
              </w:rPr>
              <w:t>收费对象：</w:t>
            </w:r>
          </w:p>
          <w:p>
            <w:pPr>
              <w:spacing w:line="288" w:lineRule="auto"/>
              <w:jc w:val="left"/>
              <w:rPr>
                <w:rFonts w:ascii="宋体" w:hAnsi="宋体"/>
                <w:sz w:val="24"/>
              </w:rPr>
            </w:pPr>
            <w:r>
              <w:rPr>
                <w:rFonts w:ascii="宋体" w:hAnsi="宋体"/>
                <w:sz w:val="24"/>
              </w:rPr>
              <w:t>□采购人</w:t>
            </w:r>
          </w:p>
          <w:p>
            <w:pPr>
              <w:spacing w:line="288" w:lineRule="auto"/>
              <w:jc w:val="left"/>
              <w:rPr>
                <w:rFonts w:ascii="宋体" w:hAnsi="宋体"/>
                <w:sz w:val="24"/>
              </w:rPr>
            </w:pPr>
            <w:r>
              <w:rPr>
                <w:rFonts w:ascii="宋体" w:hAnsi="宋体"/>
                <w:b/>
                <w:color w:val="000000"/>
                <w:sz w:val="24"/>
              </w:rPr>
              <w:t>■</w:t>
            </w:r>
            <w:r>
              <w:rPr>
                <w:rFonts w:ascii="宋体" w:hAnsi="宋体"/>
                <w:sz w:val="24"/>
              </w:rPr>
              <w:t>中标人</w:t>
            </w:r>
          </w:p>
          <w:p>
            <w:pPr>
              <w:spacing w:line="288" w:lineRule="auto"/>
              <w:jc w:val="left"/>
              <w:rPr>
                <w:rFonts w:ascii="宋体" w:hAnsi="宋体"/>
                <w:sz w:val="24"/>
              </w:rPr>
            </w:pPr>
            <w:r>
              <w:rPr>
                <w:rFonts w:ascii="宋体" w:hAnsi="宋体"/>
                <w:sz w:val="24"/>
              </w:rPr>
              <w:t>收费标准：</w:t>
            </w:r>
            <w:r>
              <w:rPr>
                <w:rFonts w:hint="eastAsia" w:ascii="宋体" w:hAnsi="宋体"/>
                <w:sz w:val="24"/>
                <w:u w:val="single"/>
              </w:rPr>
              <w:t>采购代理机构参照原计价格[2002]1980号文、发改办价格[2003]857号文及发改办价格[2011]534号文有关规定，按照如下费率表取费，按中标金额差额定率累进法计算，计算基数为分包合同总价</w:t>
            </w:r>
            <w:r>
              <w:rPr>
                <w:rFonts w:ascii="宋体" w:hAnsi="宋体"/>
                <w:sz w:val="24"/>
              </w:rPr>
              <w:t>；</w:t>
            </w:r>
          </w:p>
          <w:tbl>
            <w:tblPr>
              <w:tblStyle w:val="33"/>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2"/>
              <w:gridCol w:w="15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rFonts w:hint="eastAsia"/>
                      <w:b/>
                      <w:bCs/>
                      <w:szCs w:val="18"/>
                    </w:rPr>
                    <w:t>      项目类型   </w:t>
                  </w:r>
                </w:p>
                <w:p>
                  <w:pPr>
                    <w:adjustRightInd w:val="0"/>
                    <w:snapToGrid w:val="0"/>
                    <w:spacing w:line="288" w:lineRule="auto"/>
                    <w:rPr>
                      <w:b/>
                      <w:bCs/>
                      <w:szCs w:val="18"/>
                    </w:rPr>
                  </w:pPr>
                  <w:r>
                    <w:rPr>
                      <w:rFonts w:hint="eastAsia"/>
                      <w:b/>
                      <w:bCs/>
                      <w:szCs w:val="18"/>
                    </w:rPr>
                    <w:t>中标金额（万元）</w:t>
                  </w:r>
                </w:p>
              </w:tc>
              <w:tc>
                <w:tcPr>
                  <w:tcW w:w="1571"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rFonts w:hint="eastAsia"/>
                      <w:b/>
                      <w:bCs/>
                      <w:szCs w:val="18"/>
                    </w:rPr>
                    <w:t>服务招标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rPr>
                      <w:b/>
                      <w:bCs/>
                      <w:szCs w:val="18"/>
                    </w:rPr>
                  </w:pPr>
                  <w:r>
                    <w:rPr>
                      <w:rFonts w:hint="eastAsia"/>
                      <w:b/>
                      <w:bCs/>
                      <w:szCs w:val="18"/>
                    </w:rPr>
                    <w:t>100以下</w:t>
                  </w:r>
                </w:p>
              </w:tc>
              <w:tc>
                <w:tcPr>
                  <w:tcW w:w="1571"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rFonts w:hint="eastAsia"/>
                      <w:b/>
                      <w:bCs/>
                      <w:szCs w:val="18"/>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rPr>
                      <w:b/>
                      <w:bCs/>
                      <w:szCs w:val="18"/>
                    </w:rPr>
                  </w:pPr>
                  <w:r>
                    <w:rPr>
                      <w:rFonts w:hint="eastAsia"/>
                      <w:b/>
                      <w:bCs/>
                      <w:szCs w:val="18"/>
                    </w:rPr>
                    <w:t>100—500</w:t>
                  </w:r>
                </w:p>
              </w:tc>
              <w:tc>
                <w:tcPr>
                  <w:tcW w:w="1571"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288" w:lineRule="auto"/>
                    <w:jc w:val="center"/>
                    <w:rPr>
                      <w:b/>
                      <w:bCs/>
                      <w:szCs w:val="18"/>
                    </w:rPr>
                  </w:pPr>
                  <w:r>
                    <w:rPr>
                      <w:rFonts w:hint="eastAsia"/>
                      <w:b/>
                      <w:bCs/>
                      <w:szCs w:val="18"/>
                    </w:rPr>
                    <w:t>0.8％</w:t>
                  </w:r>
                </w:p>
              </w:tc>
            </w:tr>
          </w:tbl>
          <w:p>
            <w:pPr>
              <w:spacing w:line="288" w:lineRule="auto"/>
              <w:jc w:val="left"/>
              <w:rPr>
                <w:rFonts w:ascii="宋体" w:hAnsi="宋体"/>
                <w:sz w:val="24"/>
              </w:rPr>
            </w:pPr>
            <w:r>
              <w:rPr>
                <w:rFonts w:ascii="宋体" w:hAnsi="宋体"/>
                <w:sz w:val="24"/>
              </w:rPr>
              <w:t>缴纳时间：</w:t>
            </w:r>
            <w:r>
              <w:rPr>
                <w:rFonts w:hint="eastAsia" w:ascii="宋体" w:hAnsi="宋体"/>
                <w:sz w:val="24"/>
                <w:u w:val="single"/>
              </w:rPr>
              <w:t>中标人在领取中标通知书时须向采购代理机构缴纳代理费</w:t>
            </w:r>
            <w:r>
              <w:rPr>
                <w:rFonts w:ascii="宋体" w:hAnsi="宋体"/>
                <w:sz w:val="24"/>
              </w:rPr>
              <w:t>。</w:t>
            </w:r>
          </w:p>
        </w:tc>
      </w:tr>
    </w:tbl>
    <w:p>
      <w:pPr>
        <w:spacing w:line="360" w:lineRule="auto"/>
        <w:rPr>
          <w:rFonts w:ascii="宋体" w:hAnsi="宋体"/>
          <w:sz w:val="24"/>
        </w:rPr>
      </w:pPr>
    </w:p>
    <w:p>
      <w:pPr>
        <w:spacing w:before="240" w:beforeLines="100" w:after="240" w:afterLines="100"/>
        <w:jc w:val="center"/>
        <w:rPr>
          <w:rFonts w:ascii="宋体" w:hAnsi="宋体"/>
          <w:b/>
          <w:sz w:val="28"/>
          <w:szCs w:val="28"/>
        </w:rPr>
      </w:pPr>
      <w:bookmarkStart w:id="41" w:name="_Toc32668"/>
      <w:bookmarkStart w:id="42" w:name="_Toc520356143"/>
      <w:r>
        <w:rPr>
          <w:rFonts w:hint="eastAsia" w:ascii="宋体" w:hAnsi="宋体"/>
          <w:sz w:val="28"/>
        </w:rPr>
        <w:br w:type="page"/>
      </w:r>
      <w:bookmarkStart w:id="43" w:name="_Toc127151517"/>
      <w:bookmarkStart w:id="44" w:name="_Toc150480755"/>
      <w:bookmarkStart w:id="45" w:name="_Toc226337213"/>
      <w:bookmarkStart w:id="46" w:name="_Toc353873662"/>
      <w:bookmarkStart w:id="47" w:name="_Toc353825542"/>
      <w:bookmarkStart w:id="48" w:name="_Toc226965790"/>
      <w:bookmarkStart w:id="49" w:name="_Toc195842882"/>
      <w:bookmarkStart w:id="50" w:name="_Toc305158859"/>
      <w:bookmarkStart w:id="51" w:name="_Toc305158785"/>
      <w:bookmarkStart w:id="52" w:name="_Toc142311019"/>
      <w:bookmarkStart w:id="53" w:name="_Toc264969207"/>
      <w:bookmarkStart w:id="54" w:name="_Toc265228355"/>
      <w:bookmarkStart w:id="55" w:name="_Toc353873932"/>
      <w:bookmarkStart w:id="56" w:name="_Toc150774722"/>
      <w:r>
        <w:rPr>
          <w:rFonts w:ascii="宋体" w:hAnsi="宋体"/>
          <w:b/>
          <w:sz w:val="28"/>
          <w:szCs w:val="28"/>
        </w:rPr>
        <w:t>投标人须知</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5"/>
        <w:spacing w:line="240" w:lineRule="auto"/>
        <w:rPr>
          <w:rFonts w:ascii="宋体" w:hAnsi="宋体" w:eastAsia="宋体"/>
          <w:sz w:val="28"/>
        </w:rPr>
      </w:pPr>
      <w:r>
        <w:rPr>
          <w:rFonts w:hint="eastAsia" w:ascii="宋体" w:hAnsi="宋体" w:eastAsia="宋体"/>
          <w:sz w:val="28"/>
        </w:rPr>
        <w:t>一   说  明</w:t>
      </w:r>
      <w:bookmarkEnd w:id="41"/>
      <w:bookmarkEnd w:id="42"/>
    </w:p>
    <w:p>
      <w:pPr>
        <w:pStyle w:val="6"/>
        <w:ind w:left="899" w:hanging="899"/>
        <w:rPr>
          <w:rFonts w:hAnsi="宋体"/>
          <w:u w:val="none"/>
        </w:rPr>
      </w:pPr>
      <w:bookmarkStart w:id="57" w:name="_Toc134857272"/>
      <w:bookmarkStart w:id="58" w:name="_Toc163893386"/>
      <w:bookmarkStart w:id="59" w:name="_Toc520356144"/>
      <w:bookmarkStart w:id="60" w:name="_Toc20441"/>
      <w:r>
        <w:rPr>
          <w:rFonts w:hint="eastAsia" w:hAnsi="宋体"/>
          <w:u w:val="none"/>
        </w:rPr>
        <w:t>1.</w:t>
      </w:r>
      <w:r>
        <w:rPr>
          <w:rFonts w:hint="eastAsia" w:hAnsi="宋体"/>
          <w:u w:val="none"/>
        </w:rPr>
        <w:tab/>
      </w:r>
      <w:r>
        <w:rPr>
          <w:rFonts w:hint="eastAsia" w:hAnsi="宋体"/>
          <w:u w:val="none"/>
        </w:rPr>
        <w:t>采购人、采购代理机构、投标人</w:t>
      </w:r>
      <w:bookmarkEnd w:id="57"/>
      <w:bookmarkEnd w:id="58"/>
      <w:bookmarkEnd w:id="59"/>
      <w:r>
        <w:rPr>
          <w:rFonts w:hint="eastAsia" w:hAnsi="宋体"/>
          <w:u w:val="none"/>
        </w:rPr>
        <w:t>、联合体</w:t>
      </w:r>
      <w:bookmarkEnd w:id="60"/>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 xml:space="preserve">1.1    </w:t>
      </w:r>
      <w:r>
        <w:rPr>
          <w:rFonts w:ascii="宋体" w:hAnsi="宋体"/>
          <w:sz w:val="24"/>
        </w:rPr>
        <w:t>采购人、采购代理机构：指依法进行采购的国家机关、事业单位、团体组织，及其委托的采购代理机构。本项目采购人、采购代理机构见第一章《投标邀请》。</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投标人（也称“供应商”、“申请人”）：指向采购人提供货物、工程或者服务的法人、其他组织或者自然人。</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联合体：指两个以上的自然人、法人或者其他组织组成一个联合体，以一个供应商的身份共同参加招标采购。</w:t>
      </w:r>
    </w:p>
    <w:p>
      <w:pPr>
        <w:pStyle w:val="6"/>
        <w:spacing w:line="360" w:lineRule="auto"/>
        <w:ind w:left="901" w:hanging="899"/>
        <w:rPr>
          <w:rFonts w:hAnsi="宋体"/>
          <w:u w:val="none"/>
        </w:rPr>
      </w:pPr>
      <w:bookmarkStart w:id="61" w:name="_Toc163893387"/>
      <w:bookmarkStart w:id="62" w:name="_Toc134857273"/>
      <w:bookmarkStart w:id="63" w:name="_Toc16102"/>
      <w:r>
        <w:rPr>
          <w:rFonts w:hint="eastAsia" w:hAnsi="宋体"/>
          <w:u w:val="none"/>
        </w:rPr>
        <w:t>2．</w:t>
      </w:r>
      <w:r>
        <w:rPr>
          <w:rFonts w:hint="eastAsia" w:hAnsi="宋体"/>
          <w:u w:val="none"/>
        </w:rPr>
        <w:tab/>
      </w:r>
      <w:r>
        <w:rPr>
          <w:rFonts w:hint="eastAsia" w:hAnsi="宋体"/>
          <w:u w:val="none"/>
        </w:rPr>
        <w:t>资金来源</w:t>
      </w:r>
      <w:bookmarkEnd w:id="61"/>
      <w:bookmarkEnd w:id="62"/>
      <w:r>
        <w:rPr>
          <w:rFonts w:hint="eastAsia" w:hAnsi="宋体"/>
          <w:u w:val="none"/>
        </w:rPr>
        <w:t>、项目属性、科研仪器设备采购、核心产品</w:t>
      </w:r>
      <w:bookmarkEnd w:id="63"/>
    </w:p>
    <w:p>
      <w:pPr>
        <w:spacing w:before="120" w:line="360" w:lineRule="auto"/>
        <w:ind w:left="897" w:hanging="895"/>
        <w:rPr>
          <w:rFonts w:ascii="宋体" w:hAnsi="宋体"/>
          <w:sz w:val="24"/>
          <w:highlight w:val="yellow"/>
        </w:rPr>
      </w:pPr>
      <w:r>
        <w:rPr>
          <w:rFonts w:hint="eastAsia" w:ascii="宋体" w:hAnsi="宋体"/>
          <w:sz w:val="24"/>
        </w:rPr>
        <w:t>2</w:t>
      </w:r>
      <w:r>
        <w:rPr>
          <w:rFonts w:ascii="宋体" w:hAnsi="宋体"/>
          <w:sz w:val="24"/>
        </w:rPr>
        <w:t>.1</w:t>
      </w:r>
      <w:r>
        <w:rPr>
          <w:rFonts w:hint="eastAsia" w:ascii="宋体" w:hAnsi="宋体"/>
          <w:sz w:val="24"/>
        </w:rPr>
        <w:tab/>
      </w:r>
      <w:r>
        <w:rPr>
          <w:rFonts w:hint="eastAsia" w:ascii="宋体" w:hAnsi="宋体"/>
          <w:sz w:val="24"/>
        </w:rPr>
        <w:t>资金来源见《投标人须知资料表》。</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2.2</w:t>
      </w:r>
      <w:r>
        <w:rPr>
          <w:rFonts w:hint="eastAsia" w:ascii="宋体" w:hAnsi="宋体"/>
          <w:sz w:val="24"/>
        </w:rPr>
        <w:tab/>
      </w:r>
      <w:r>
        <w:rPr>
          <w:rFonts w:hint="eastAsia" w:ascii="宋体" w:hAnsi="宋体"/>
          <w:sz w:val="24"/>
        </w:rPr>
        <w:t>项目属性见《投标人须知资料表》。</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2.3</w:t>
      </w:r>
      <w:r>
        <w:rPr>
          <w:rFonts w:hint="eastAsia" w:ascii="宋体" w:hAnsi="宋体"/>
          <w:sz w:val="24"/>
        </w:rPr>
        <w:tab/>
      </w:r>
      <w:r>
        <w:rPr>
          <w:rFonts w:hint="eastAsia" w:ascii="宋体" w:hAnsi="宋体"/>
          <w:sz w:val="24"/>
        </w:rPr>
        <w:t>是否属于科研仪器设备采购见《投标人须知资料表》。</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2.4</w:t>
      </w:r>
      <w:r>
        <w:rPr>
          <w:rFonts w:hint="eastAsia" w:ascii="宋体" w:hAnsi="宋体"/>
          <w:sz w:val="24"/>
        </w:rPr>
        <w:tab/>
      </w:r>
      <w:r>
        <w:rPr>
          <w:rFonts w:hint="eastAsia" w:ascii="宋体" w:hAnsi="宋体"/>
          <w:sz w:val="24"/>
        </w:rPr>
        <w:t>核心产品见《投标人须知资料表》。</w:t>
      </w:r>
    </w:p>
    <w:p>
      <w:pPr>
        <w:pStyle w:val="6"/>
        <w:spacing w:line="360" w:lineRule="auto"/>
        <w:ind w:left="901" w:hanging="899"/>
        <w:rPr>
          <w:rFonts w:hAnsi="宋体"/>
          <w:u w:val="none"/>
        </w:rPr>
      </w:pPr>
      <w:bookmarkStart w:id="64" w:name="_Toc3809"/>
      <w:bookmarkStart w:id="65" w:name="_Toc134857274"/>
      <w:bookmarkStart w:id="66" w:name="_Toc163893388"/>
      <w:bookmarkStart w:id="67" w:name="_Toc520356145"/>
      <w:r>
        <w:rPr>
          <w:rFonts w:hint="eastAsia" w:hAnsi="宋体"/>
          <w:u w:val="none"/>
        </w:rPr>
        <w:t>3．</w:t>
      </w:r>
      <w:r>
        <w:rPr>
          <w:rFonts w:hint="eastAsia" w:hAnsi="宋体"/>
          <w:u w:val="none"/>
        </w:rPr>
        <w:tab/>
      </w:r>
      <w:r>
        <w:rPr>
          <w:rFonts w:hint="eastAsia" w:hAnsi="宋体"/>
          <w:u w:val="none"/>
        </w:rPr>
        <w:t>现场考察、开标前答疑会</w:t>
      </w:r>
      <w:bookmarkEnd w:id="64"/>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3.1     若《投标人须知资料表》中规定了组织现场考察、召开开标前答疑会，则投标人应按要求在规定的时间和地点参加。</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3.2     由于未参加现场考察或开标前答疑会而导致对项目实际情况不了解，影响投标文件编制、投标报价准确性、综合因素响应不全面等问题的，由投标人自行承担不利评审后果。</w:t>
      </w:r>
    </w:p>
    <w:p>
      <w:pPr>
        <w:pStyle w:val="6"/>
        <w:spacing w:line="360" w:lineRule="auto"/>
        <w:ind w:left="901" w:hanging="899"/>
        <w:rPr>
          <w:rFonts w:hAnsi="宋体"/>
          <w:u w:val="none"/>
        </w:rPr>
      </w:pPr>
      <w:bookmarkStart w:id="68" w:name="_Toc21047"/>
      <w:r>
        <w:rPr>
          <w:rFonts w:hint="eastAsia" w:hAnsi="宋体"/>
          <w:u w:val="none"/>
        </w:rPr>
        <w:t>4.</w:t>
      </w:r>
      <w:r>
        <w:rPr>
          <w:rFonts w:hint="eastAsia" w:hAnsi="宋体"/>
          <w:u w:val="none"/>
        </w:rPr>
        <w:tab/>
      </w:r>
      <w:r>
        <w:rPr>
          <w:rFonts w:hint="eastAsia" w:hAnsi="宋体"/>
          <w:u w:val="none"/>
        </w:rPr>
        <w:t>样品</w:t>
      </w:r>
      <w:bookmarkEnd w:id="68"/>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4.1     本项目是否要求投标人提供样品，以及样品制作的标准和要求、是否需要随样品提交相关检测报告、样品的递交与退还等要求见《投标人须知资料表》。</w:t>
      </w:r>
    </w:p>
    <w:p>
      <w:pPr>
        <w:tabs>
          <w:tab w:val="left" w:pos="1080"/>
          <w:tab w:val="left" w:pos="2014"/>
          <w:tab w:val="left" w:pos="5521"/>
        </w:tabs>
        <w:snapToGrid w:val="0"/>
        <w:spacing w:line="360" w:lineRule="auto"/>
        <w:ind w:left="901" w:hanging="901"/>
        <w:rPr>
          <w:rFonts w:ascii="宋体" w:hAnsi="宋体"/>
          <w:sz w:val="24"/>
        </w:rPr>
      </w:pPr>
      <w:r>
        <w:rPr>
          <w:rFonts w:hint="eastAsia" w:ascii="宋体" w:hAnsi="宋体"/>
          <w:sz w:val="24"/>
        </w:rPr>
        <w:t>4.2    样品的评审方法以及评审标准等内容见第四章《评标程序、评标方法和评标标准》。</w:t>
      </w:r>
    </w:p>
    <w:p>
      <w:pPr>
        <w:pStyle w:val="6"/>
        <w:spacing w:line="360" w:lineRule="auto"/>
        <w:ind w:left="901" w:hanging="899"/>
        <w:rPr>
          <w:rFonts w:hAnsi="宋体"/>
          <w:u w:val="none"/>
        </w:rPr>
      </w:pPr>
      <w:bookmarkStart w:id="69" w:name="_Toc3665"/>
      <w:r>
        <w:rPr>
          <w:rFonts w:hint="eastAsia" w:hAnsi="宋体"/>
          <w:u w:val="none"/>
        </w:rPr>
        <w:t>5.</w:t>
      </w:r>
      <w:r>
        <w:rPr>
          <w:rFonts w:hint="eastAsia" w:hAnsi="宋体"/>
          <w:u w:val="none"/>
        </w:rPr>
        <w:tab/>
      </w:r>
      <w:r>
        <w:rPr>
          <w:rFonts w:hint="eastAsia" w:hAnsi="宋体"/>
          <w:u w:val="none"/>
        </w:rPr>
        <w:t>采购政策（包括但不限于下列具体政策要求）</w:t>
      </w:r>
      <w:bookmarkEnd w:id="69"/>
    </w:p>
    <w:p>
      <w:pPr>
        <w:tabs>
          <w:tab w:val="left" w:pos="1080"/>
          <w:tab w:val="left" w:pos="2014"/>
        </w:tabs>
        <w:snapToGrid w:val="0"/>
        <w:spacing w:line="360" w:lineRule="auto"/>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ab/>
      </w:r>
      <w:r>
        <w:rPr>
          <w:rFonts w:ascii="宋体" w:hAnsi="宋体"/>
          <w:sz w:val="24"/>
        </w:rPr>
        <w:t>进口产品</w:t>
      </w:r>
    </w:p>
    <w:p>
      <w:pPr>
        <w:tabs>
          <w:tab w:val="left" w:pos="2014"/>
        </w:tabs>
        <w:snapToGrid w:val="0"/>
        <w:spacing w:line="360" w:lineRule="auto"/>
        <w:ind w:left="1080"/>
        <w:rPr>
          <w:rFonts w:ascii="宋体" w:hAnsi="宋体"/>
          <w:sz w:val="24"/>
        </w:rPr>
      </w:pPr>
      <w:r>
        <w:rPr>
          <w:rFonts w:hint="eastAsia" w:ascii="宋体" w:hAnsi="宋体"/>
          <w:sz w:val="24"/>
        </w:rPr>
        <w:t xml:space="preserve">5.1.1  </w:t>
      </w: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tabs>
          <w:tab w:val="left" w:pos="2014"/>
        </w:tabs>
        <w:snapToGrid w:val="0"/>
        <w:spacing w:line="360" w:lineRule="auto"/>
        <w:ind w:left="1080"/>
        <w:rPr>
          <w:rFonts w:ascii="宋体" w:hAnsi="宋体"/>
          <w:sz w:val="24"/>
        </w:rPr>
      </w:pPr>
      <w:r>
        <w:rPr>
          <w:rFonts w:hint="eastAsia" w:ascii="宋体" w:hAnsi="宋体"/>
          <w:sz w:val="24"/>
        </w:rPr>
        <w:t xml:space="preserve">5.1.2 </w:t>
      </w:r>
      <w:r>
        <w:rPr>
          <w:rFonts w:ascii="宋体" w:hAnsi="宋体"/>
          <w:sz w:val="24"/>
        </w:rPr>
        <w:t>本项目是否接受进口产品见第</w:t>
      </w:r>
      <w:r>
        <w:rPr>
          <w:rFonts w:hint="eastAsia" w:ascii="宋体" w:hAnsi="宋体"/>
          <w:sz w:val="24"/>
        </w:rPr>
        <w:t>一章</w:t>
      </w:r>
      <w:r>
        <w:rPr>
          <w:rFonts w:ascii="宋体" w:hAnsi="宋体"/>
          <w:sz w:val="24"/>
        </w:rPr>
        <w:t>《</w:t>
      </w:r>
      <w:r>
        <w:rPr>
          <w:rFonts w:hint="eastAsia" w:ascii="宋体" w:hAnsi="宋体"/>
          <w:sz w:val="24"/>
        </w:rPr>
        <w:t>投标邀请</w:t>
      </w:r>
      <w:r>
        <w:rPr>
          <w:rFonts w:ascii="宋体" w:hAnsi="宋体"/>
          <w:sz w:val="24"/>
        </w:rPr>
        <w:t>》。</w:t>
      </w:r>
    </w:p>
    <w:p>
      <w:pPr>
        <w:tabs>
          <w:tab w:val="left" w:pos="1080"/>
          <w:tab w:val="left" w:pos="2014"/>
        </w:tabs>
        <w:snapToGrid w:val="0"/>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hint="eastAsia" w:ascii="宋体" w:hAnsi="宋体"/>
          <w:sz w:val="24"/>
        </w:rPr>
        <w:tab/>
      </w:r>
      <w:r>
        <w:rPr>
          <w:rFonts w:ascii="宋体" w:hAnsi="宋体"/>
          <w:sz w:val="24"/>
        </w:rPr>
        <w:t>中小企业、监狱企业及残疾人福利性单位</w:t>
      </w:r>
    </w:p>
    <w:p>
      <w:pPr>
        <w:snapToGrid w:val="0"/>
        <w:spacing w:line="360" w:lineRule="auto"/>
        <w:ind w:left="1080"/>
        <w:rPr>
          <w:rFonts w:ascii="宋体" w:hAnsi="宋体"/>
          <w:sz w:val="24"/>
        </w:rPr>
      </w:pPr>
      <w:r>
        <w:rPr>
          <w:rFonts w:hint="eastAsia" w:ascii="宋体" w:hAnsi="宋体"/>
          <w:sz w:val="24"/>
        </w:rPr>
        <w:t xml:space="preserve">5.2.1 </w:t>
      </w:r>
      <w:r>
        <w:rPr>
          <w:rFonts w:ascii="宋体" w:hAnsi="宋体"/>
          <w:sz w:val="24"/>
        </w:rPr>
        <w:t>中小企业定义：</w:t>
      </w:r>
    </w:p>
    <w:p>
      <w:pPr>
        <w:snapToGrid w:val="0"/>
        <w:spacing w:line="360" w:lineRule="auto"/>
        <w:ind w:left="1080"/>
        <w:rPr>
          <w:rFonts w:ascii="宋体" w:hAnsi="宋体"/>
          <w:color w:val="000000"/>
          <w:sz w:val="24"/>
        </w:rPr>
      </w:pPr>
      <w:r>
        <w:rPr>
          <w:rFonts w:hint="eastAsia" w:ascii="宋体" w:hAnsi="宋体"/>
          <w:sz w:val="24"/>
        </w:rPr>
        <w:t xml:space="preserve">5.2.1.1 </w:t>
      </w: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pPr>
        <w:snapToGrid w:val="0"/>
        <w:spacing w:line="360" w:lineRule="auto"/>
        <w:ind w:left="1080"/>
        <w:rPr>
          <w:rFonts w:ascii="宋体" w:hAnsi="宋体"/>
          <w:color w:val="000000"/>
          <w:sz w:val="24"/>
        </w:rPr>
      </w:pPr>
      <w:r>
        <w:rPr>
          <w:rFonts w:hint="eastAsia" w:ascii="宋体" w:hAnsi="宋体"/>
          <w:color w:val="000000"/>
          <w:sz w:val="24"/>
        </w:rPr>
        <w:t xml:space="preserve">5.2.1.2 </w:t>
      </w:r>
      <w:r>
        <w:rPr>
          <w:rFonts w:ascii="宋体" w:hAnsi="宋体"/>
          <w:color w:val="000000"/>
          <w:sz w:val="24"/>
        </w:rPr>
        <w:t>供应商提供的货物、工程或者服务符合下列情形的，享受中小企业扶持政策：</w:t>
      </w:r>
    </w:p>
    <w:p>
      <w:pPr>
        <w:snapToGrid w:val="0"/>
        <w:spacing w:line="360" w:lineRule="auto"/>
        <w:ind w:left="1080"/>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pPr>
        <w:snapToGrid w:val="0"/>
        <w:spacing w:line="360" w:lineRule="auto"/>
        <w:ind w:left="1080"/>
        <w:rPr>
          <w:rFonts w:ascii="宋体" w:hAnsi="宋体"/>
          <w:color w:val="000000"/>
          <w:sz w:val="24"/>
        </w:rPr>
      </w:pPr>
      <w:r>
        <w:rPr>
          <w:rFonts w:ascii="宋体" w:hAnsi="宋体"/>
          <w:color w:val="000000"/>
          <w:sz w:val="24"/>
        </w:rPr>
        <w:t>（2）在工程采购项目中，工程由中小企业承建，即工程施工单位为中小企业；</w:t>
      </w:r>
    </w:p>
    <w:p>
      <w:pPr>
        <w:snapToGrid w:val="0"/>
        <w:spacing w:line="360" w:lineRule="auto"/>
        <w:ind w:left="1080"/>
        <w:rPr>
          <w:rFonts w:ascii="宋体" w:hAnsi="宋体"/>
          <w:sz w:val="24"/>
        </w:rPr>
      </w:pPr>
      <w:r>
        <w:rPr>
          <w:rFonts w:ascii="宋体" w:hAnsi="宋体"/>
          <w:color w:val="000000"/>
          <w:sz w:val="24"/>
        </w:rPr>
        <w:t>（3）在服务采购项目中，服务由中</w:t>
      </w:r>
      <w:r>
        <w:rPr>
          <w:rFonts w:ascii="宋体" w:hAnsi="宋体"/>
          <w:sz w:val="24"/>
        </w:rPr>
        <w:t>小企业承接，即提供服务的人员为中小企业依照《中华人民共和国劳动</w:t>
      </w:r>
      <w:r>
        <w:rPr>
          <w:rFonts w:hint="eastAsia" w:ascii="宋体" w:hAnsi="宋体"/>
          <w:sz w:val="24"/>
        </w:rPr>
        <w:t>合同法</w:t>
      </w:r>
      <w:r>
        <w:rPr>
          <w:rFonts w:ascii="宋体" w:hAnsi="宋体"/>
          <w:sz w:val="24"/>
        </w:rPr>
        <w:t>》订立劳动合同的从业人员。</w:t>
      </w:r>
    </w:p>
    <w:p>
      <w:pPr>
        <w:snapToGrid w:val="0"/>
        <w:spacing w:line="360" w:lineRule="auto"/>
        <w:ind w:left="1080"/>
        <w:rPr>
          <w:rFonts w:ascii="宋体" w:hAnsi="宋体"/>
          <w:sz w:val="24"/>
        </w:rPr>
      </w:pPr>
      <w:r>
        <w:rPr>
          <w:rFonts w:hint="eastAsia" w:ascii="宋体" w:hAnsi="宋体"/>
          <w:sz w:val="24"/>
        </w:rPr>
        <w:t>5.2.1.3在货物采购项目中，供应商提供的货物既有中小企业制造货物，也有大型企业制造货物的，不享受中小企业扶持政策。</w:t>
      </w:r>
    </w:p>
    <w:p>
      <w:pPr>
        <w:snapToGrid w:val="0"/>
        <w:spacing w:line="360" w:lineRule="auto"/>
        <w:ind w:left="1080"/>
        <w:rPr>
          <w:rFonts w:ascii="宋体" w:hAnsi="宋体"/>
          <w:color w:val="000000"/>
          <w:sz w:val="24"/>
        </w:rPr>
      </w:pPr>
      <w:r>
        <w:rPr>
          <w:rFonts w:hint="eastAsia" w:ascii="宋体" w:hAnsi="宋体"/>
          <w:color w:val="000000"/>
          <w:sz w:val="24"/>
        </w:rPr>
        <w:t xml:space="preserve">5.2.1.4 </w:t>
      </w:r>
      <w:r>
        <w:rPr>
          <w:rFonts w:ascii="宋体" w:hAnsi="宋体"/>
          <w:color w:val="000000"/>
          <w:sz w:val="24"/>
        </w:rPr>
        <w:t>以联合体形式参加采购活动，联合体各方均为中小企业的，联合体视同中小企业。其中，联合体各方均为小微企业的，联合体视同小微企业。</w:t>
      </w:r>
    </w:p>
    <w:p>
      <w:pPr>
        <w:snapToGrid w:val="0"/>
        <w:spacing w:line="360" w:lineRule="auto"/>
        <w:ind w:left="1080"/>
        <w:rPr>
          <w:rFonts w:ascii="宋体" w:hAnsi="宋体"/>
          <w:sz w:val="24"/>
        </w:rPr>
      </w:pPr>
      <w:r>
        <w:rPr>
          <w:rFonts w:hint="eastAsia" w:ascii="宋体" w:hAnsi="宋体"/>
          <w:sz w:val="24"/>
        </w:rPr>
        <w:t xml:space="preserve">5.2.2 </w:t>
      </w: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60" w:lineRule="auto"/>
        <w:ind w:left="1080"/>
        <w:rPr>
          <w:rFonts w:ascii="宋体" w:hAnsi="宋体"/>
          <w:sz w:val="24"/>
        </w:rPr>
      </w:pPr>
      <w:r>
        <w:rPr>
          <w:rFonts w:hint="eastAsia" w:ascii="宋体" w:hAnsi="宋体"/>
          <w:sz w:val="24"/>
        </w:rPr>
        <w:t xml:space="preserve">5.2.3 </w:t>
      </w:r>
      <w:r>
        <w:rPr>
          <w:rFonts w:ascii="宋体" w:hAnsi="宋体"/>
          <w:sz w:val="24"/>
        </w:rPr>
        <w:t>残疾人福利单位定义：享受政府采购支持政策的残疾人福利性单位应当同时满足以下条件</w:t>
      </w:r>
      <w:r>
        <w:rPr>
          <w:rFonts w:hint="eastAsia" w:ascii="宋体" w:hAnsi="宋体"/>
          <w:sz w:val="24"/>
        </w:rPr>
        <w:t>：</w:t>
      </w:r>
    </w:p>
    <w:p>
      <w:pPr>
        <w:snapToGrid w:val="0"/>
        <w:spacing w:line="360" w:lineRule="auto"/>
        <w:ind w:left="1080"/>
        <w:rPr>
          <w:rFonts w:ascii="宋体" w:hAnsi="宋体"/>
          <w:color w:val="000000"/>
          <w:sz w:val="24"/>
        </w:rPr>
      </w:pPr>
      <w:r>
        <w:rPr>
          <w:rFonts w:hint="eastAsia" w:ascii="宋体" w:hAnsi="宋体"/>
          <w:sz w:val="24"/>
        </w:rPr>
        <w:t xml:space="preserve">5.2.3.1 </w:t>
      </w:r>
      <w:r>
        <w:rPr>
          <w:rFonts w:ascii="宋体" w:hAnsi="宋体"/>
          <w:color w:val="000000"/>
          <w:sz w:val="24"/>
        </w:rPr>
        <w:t>安置的残疾人占本单位在职职工人数的比例不低于25%（含25%），并且安置的残疾人人数不少于10 人（含10人）；</w:t>
      </w:r>
    </w:p>
    <w:p>
      <w:pPr>
        <w:snapToGrid w:val="0"/>
        <w:spacing w:line="360" w:lineRule="auto"/>
        <w:ind w:left="1080"/>
        <w:rPr>
          <w:rFonts w:ascii="宋体" w:hAnsi="宋体"/>
          <w:color w:val="000000"/>
          <w:sz w:val="24"/>
        </w:rPr>
      </w:pPr>
      <w:r>
        <w:rPr>
          <w:rFonts w:hint="eastAsia" w:ascii="宋体" w:hAnsi="宋体"/>
          <w:color w:val="000000"/>
          <w:sz w:val="24"/>
        </w:rPr>
        <w:t xml:space="preserve">5.2.3.2 </w:t>
      </w:r>
      <w:r>
        <w:rPr>
          <w:rFonts w:ascii="宋体" w:hAnsi="宋体"/>
          <w:color w:val="000000"/>
          <w:sz w:val="24"/>
        </w:rPr>
        <w:t>依法与安置的每位残疾人签订了一年以上（含一年）的劳动合同或服务协议；</w:t>
      </w:r>
    </w:p>
    <w:p>
      <w:pPr>
        <w:snapToGrid w:val="0"/>
        <w:spacing w:line="360" w:lineRule="auto"/>
        <w:ind w:left="1080"/>
        <w:rPr>
          <w:rFonts w:ascii="宋体" w:hAnsi="宋体"/>
          <w:color w:val="000000"/>
          <w:sz w:val="24"/>
        </w:rPr>
      </w:pPr>
      <w:r>
        <w:rPr>
          <w:rFonts w:hint="eastAsia" w:ascii="宋体" w:hAnsi="宋体"/>
          <w:color w:val="000000"/>
          <w:sz w:val="24"/>
        </w:rPr>
        <w:t xml:space="preserve">5.2.3.3 </w:t>
      </w:r>
      <w:r>
        <w:rPr>
          <w:rFonts w:ascii="宋体" w:hAnsi="宋体"/>
          <w:color w:val="000000"/>
          <w:sz w:val="24"/>
        </w:rPr>
        <w:t>为安置的每位残疾人按月足额缴纳了基本养老保险、基本医疗保险、失业保险、工伤保险和生育保险等社会保险费；</w:t>
      </w:r>
    </w:p>
    <w:p>
      <w:pPr>
        <w:snapToGrid w:val="0"/>
        <w:spacing w:line="360" w:lineRule="auto"/>
        <w:ind w:left="1080"/>
        <w:rPr>
          <w:rFonts w:ascii="宋体" w:hAnsi="宋体"/>
          <w:color w:val="000000"/>
          <w:sz w:val="24"/>
        </w:rPr>
      </w:pPr>
      <w:r>
        <w:rPr>
          <w:rFonts w:hint="eastAsia" w:ascii="宋体" w:hAnsi="宋体"/>
          <w:color w:val="000000"/>
          <w:sz w:val="24"/>
        </w:rPr>
        <w:t xml:space="preserve">5.2.3.4 </w:t>
      </w:r>
      <w:r>
        <w:rPr>
          <w:rFonts w:ascii="宋体" w:hAnsi="宋体"/>
          <w:color w:val="000000"/>
          <w:sz w:val="24"/>
        </w:rPr>
        <w:t>通过银行等金融机构向安置的每位残疾人，按月支付了不低于单位所在区县适用的经省级人民政府批准的月最低工资标准的工资；</w:t>
      </w:r>
    </w:p>
    <w:p>
      <w:pPr>
        <w:snapToGrid w:val="0"/>
        <w:spacing w:line="360" w:lineRule="auto"/>
        <w:ind w:left="1080"/>
        <w:rPr>
          <w:rFonts w:ascii="宋体" w:hAnsi="宋体"/>
          <w:color w:val="000000"/>
          <w:sz w:val="24"/>
        </w:rPr>
      </w:pPr>
      <w:r>
        <w:rPr>
          <w:rFonts w:hint="eastAsia" w:ascii="宋体" w:hAnsi="宋体"/>
          <w:color w:val="000000"/>
          <w:sz w:val="24"/>
        </w:rPr>
        <w:t xml:space="preserve">5.2.3.5 </w:t>
      </w: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pPr>
        <w:snapToGrid w:val="0"/>
        <w:spacing w:line="360" w:lineRule="auto"/>
        <w:ind w:left="1080"/>
        <w:rPr>
          <w:rFonts w:ascii="宋体" w:hAnsi="宋体"/>
          <w:color w:val="000000"/>
          <w:sz w:val="24"/>
        </w:rPr>
      </w:pPr>
      <w:r>
        <w:rPr>
          <w:rFonts w:hint="eastAsia" w:ascii="宋体" w:hAnsi="宋体"/>
          <w:color w:val="000000"/>
          <w:sz w:val="24"/>
        </w:rPr>
        <w:t xml:space="preserve">5.2.3.6 </w:t>
      </w:r>
      <w:r>
        <w:rPr>
          <w:rFonts w:ascii="宋体" w:hAnsi="宋体"/>
          <w:color w:val="00000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snapToGrid w:val="0"/>
        <w:spacing w:line="360" w:lineRule="auto"/>
        <w:ind w:left="1080"/>
        <w:rPr>
          <w:rFonts w:ascii="宋体" w:hAnsi="宋体"/>
          <w:sz w:val="24"/>
        </w:rPr>
      </w:pPr>
      <w:r>
        <w:rPr>
          <w:rFonts w:hint="eastAsia" w:ascii="宋体" w:hAnsi="宋体"/>
          <w:sz w:val="24"/>
        </w:rPr>
        <w:t xml:space="preserve">5.2.4  </w:t>
      </w:r>
      <w:r>
        <w:rPr>
          <w:rFonts w:ascii="宋体" w:hAnsi="宋体"/>
          <w:sz w:val="24"/>
        </w:rPr>
        <w:t>本项目是否专门面向中小企业预留采购份额见第一章《投标邀请》。</w:t>
      </w:r>
    </w:p>
    <w:p>
      <w:pPr>
        <w:snapToGrid w:val="0"/>
        <w:spacing w:line="360" w:lineRule="auto"/>
        <w:ind w:left="1080"/>
        <w:rPr>
          <w:rFonts w:ascii="宋体" w:hAnsi="宋体"/>
          <w:sz w:val="24"/>
        </w:rPr>
      </w:pPr>
      <w:r>
        <w:rPr>
          <w:rFonts w:hint="eastAsia" w:ascii="宋体" w:hAnsi="宋体"/>
          <w:sz w:val="24"/>
        </w:rPr>
        <w:t xml:space="preserve">5.2.5  </w:t>
      </w:r>
      <w:r>
        <w:rPr>
          <w:rFonts w:ascii="宋体" w:hAnsi="宋体"/>
          <w:sz w:val="24"/>
        </w:rPr>
        <w:t>采购标的对应的中小企业划分标准所属行业见《投标人须知资料表》。</w:t>
      </w:r>
    </w:p>
    <w:p>
      <w:pPr>
        <w:snapToGrid w:val="0"/>
        <w:spacing w:line="360" w:lineRule="auto"/>
        <w:ind w:left="1080"/>
        <w:rPr>
          <w:rFonts w:ascii="宋体" w:hAnsi="宋体"/>
          <w:sz w:val="24"/>
        </w:rPr>
      </w:pPr>
      <w:r>
        <w:rPr>
          <w:rFonts w:hint="eastAsia" w:ascii="宋体" w:hAnsi="宋体"/>
          <w:sz w:val="24"/>
        </w:rPr>
        <w:t xml:space="preserve">5.2.6  </w:t>
      </w:r>
      <w:r>
        <w:rPr>
          <w:rFonts w:ascii="宋体" w:hAnsi="宋体"/>
          <w:sz w:val="24"/>
        </w:rPr>
        <w:t>小微企业价格评审优惠的政策调整：见第四章《评标方法和评标标准》。</w:t>
      </w:r>
    </w:p>
    <w:p>
      <w:pPr>
        <w:tabs>
          <w:tab w:val="left" w:pos="1080"/>
          <w:tab w:val="left" w:pos="2014"/>
        </w:tabs>
        <w:snapToGrid w:val="0"/>
        <w:spacing w:line="360" w:lineRule="auto"/>
        <w:rPr>
          <w:rFonts w:ascii="宋体" w:hAnsi="宋体"/>
          <w:sz w:val="24"/>
        </w:rPr>
      </w:pPr>
      <w:r>
        <w:rPr>
          <w:rFonts w:hint="eastAsia" w:ascii="宋体" w:hAnsi="宋体"/>
          <w:sz w:val="24"/>
        </w:rPr>
        <w:t>5.3</w:t>
      </w:r>
      <w:r>
        <w:rPr>
          <w:rFonts w:hint="eastAsia" w:ascii="宋体" w:hAnsi="宋体"/>
          <w:sz w:val="24"/>
        </w:rPr>
        <w:tab/>
      </w:r>
      <w:r>
        <w:rPr>
          <w:rFonts w:ascii="宋体" w:hAnsi="宋体"/>
          <w:sz w:val="24"/>
        </w:rPr>
        <w:t>政府采购节能产品、环境标志产品</w:t>
      </w:r>
    </w:p>
    <w:p>
      <w:pPr>
        <w:snapToGrid w:val="0"/>
        <w:spacing w:line="360" w:lineRule="auto"/>
        <w:ind w:left="1080"/>
        <w:rPr>
          <w:rFonts w:ascii="宋体" w:hAnsi="宋体"/>
          <w:sz w:val="24"/>
        </w:rPr>
      </w:pPr>
      <w:r>
        <w:rPr>
          <w:rFonts w:hint="eastAsia" w:ascii="宋体" w:hAnsi="宋体"/>
          <w:sz w:val="24"/>
        </w:rPr>
        <w:t xml:space="preserve">5.3.1 </w:t>
      </w: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napToGrid w:val="0"/>
        <w:spacing w:line="360" w:lineRule="auto"/>
        <w:ind w:left="1080"/>
        <w:rPr>
          <w:rFonts w:ascii="宋体" w:hAnsi="宋体"/>
          <w:sz w:val="24"/>
        </w:rPr>
      </w:pPr>
      <w:r>
        <w:rPr>
          <w:rFonts w:hint="eastAsia" w:ascii="宋体" w:hAnsi="宋体"/>
          <w:sz w:val="24"/>
        </w:rPr>
        <w:t xml:space="preserve">5.3.2 </w:t>
      </w: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snapToGrid w:val="0"/>
        <w:spacing w:line="360" w:lineRule="auto"/>
        <w:ind w:left="1080"/>
        <w:rPr>
          <w:rFonts w:ascii="宋体" w:hAnsi="宋体"/>
          <w:sz w:val="24"/>
        </w:rPr>
      </w:pPr>
      <w:r>
        <w:rPr>
          <w:rFonts w:hint="eastAsia" w:ascii="宋体" w:hAnsi="宋体"/>
          <w:sz w:val="24"/>
        </w:rPr>
        <w:t xml:space="preserve">5.3.3 </w:t>
      </w: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pPr>
        <w:snapToGrid w:val="0"/>
        <w:spacing w:line="360" w:lineRule="auto"/>
        <w:ind w:left="1080"/>
        <w:rPr>
          <w:rFonts w:ascii="宋体" w:hAnsi="宋体"/>
          <w:sz w:val="24"/>
        </w:rPr>
      </w:pPr>
      <w:r>
        <w:rPr>
          <w:rFonts w:hint="eastAsia" w:ascii="宋体" w:hAnsi="宋体"/>
          <w:sz w:val="24"/>
        </w:rPr>
        <w:t xml:space="preserve">5.3.4 </w:t>
      </w:r>
      <w:r>
        <w:rPr>
          <w:rFonts w:ascii="宋体" w:hAnsi="宋体"/>
          <w:sz w:val="24"/>
        </w:rPr>
        <w:t>非政府强制采购的节能产品或环境标志产品，依据品目清单和认证证书实施政府优先采购。优先采购的具体规定见第四章《评标方法和评标标准》（如涉及）。</w:t>
      </w:r>
    </w:p>
    <w:p>
      <w:pPr>
        <w:tabs>
          <w:tab w:val="left" w:pos="1080"/>
          <w:tab w:val="left" w:pos="2014"/>
        </w:tabs>
        <w:snapToGrid w:val="0"/>
        <w:spacing w:line="360" w:lineRule="auto"/>
        <w:rPr>
          <w:rFonts w:ascii="宋体" w:hAnsi="宋体"/>
          <w:sz w:val="24"/>
        </w:rPr>
      </w:pPr>
      <w:r>
        <w:rPr>
          <w:rFonts w:hint="eastAsia" w:ascii="宋体" w:hAnsi="宋体"/>
          <w:sz w:val="24"/>
        </w:rPr>
        <w:t>5.4</w:t>
      </w:r>
      <w:r>
        <w:rPr>
          <w:rFonts w:hint="eastAsia" w:ascii="宋体" w:hAnsi="宋体"/>
          <w:sz w:val="24"/>
        </w:rPr>
        <w:tab/>
      </w:r>
      <w:r>
        <w:rPr>
          <w:rFonts w:hint="eastAsia" w:ascii="宋体" w:hAnsi="宋体"/>
          <w:sz w:val="24"/>
        </w:rPr>
        <w:t>支持乡村产业振兴管理</w:t>
      </w:r>
    </w:p>
    <w:p>
      <w:pPr>
        <w:tabs>
          <w:tab w:val="left" w:pos="2014"/>
        </w:tabs>
        <w:snapToGrid w:val="0"/>
        <w:spacing w:line="360" w:lineRule="auto"/>
        <w:ind w:left="1080"/>
        <w:rPr>
          <w:rFonts w:ascii="宋体" w:hAnsi="宋体"/>
          <w:sz w:val="24"/>
        </w:rPr>
      </w:pPr>
      <w:r>
        <w:rPr>
          <w:rFonts w:hint="eastAsia" w:ascii="宋体" w:hAnsi="宋体"/>
          <w:sz w:val="24"/>
        </w:rPr>
        <w:t xml:space="preserve">5.4.1 </w:t>
      </w: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pPr>
        <w:tabs>
          <w:tab w:val="left" w:pos="1080"/>
          <w:tab w:val="left" w:pos="2014"/>
        </w:tabs>
        <w:snapToGrid w:val="0"/>
        <w:spacing w:line="360" w:lineRule="auto"/>
        <w:rPr>
          <w:rFonts w:ascii="宋体" w:hAnsi="宋体"/>
          <w:sz w:val="24"/>
        </w:rPr>
      </w:pPr>
      <w:r>
        <w:rPr>
          <w:rFonts w:hint="eastAsia" w:ascii="宋体" w:hAnsi="宋体"/>
          <w:sz w:val="24"/>
        </w:rPr>
        <w:t>5.5</w:t>
      </w:r>
      <w:r>
        <w:rPr>
          <w:rFonts w:hint="eastAsia" w:ascii="宋体" w:hAnsi="宋体"/>
          <w:sz w:val="24"/>
        </w:rPr>
        <w:tab/>
      </w:r>
      <w:r>
        <w:rPr>
          <w:rFonts w:hint="eastAsia" w:ascii="宋体" w:hAnsi="宋体"/>
          <w:sz w:val="24"/>
        </w:rPr>
        <w:t>正版软件</w:t>
      </w:r>
    </w:p>
    <w:p>
      <w:pPr>
        <w:snapToGrid w:val="0"/>
        <w:spacing w:line="360" w:lineRule="auto"/>
        <w:ind w:left="1080"/>
        <w:rPr>
          <w:rFonts w:ascii="宋体" w:hAnsi="宋体"/>
          <w:sz w:val="24"/>
        </w:rPr>
      </w:pPr>
      <w:r>
        <w:rPr>
          <w:rFonts w:hint="eastAsia" w:ascii="宋体" w:hAnsi="宋体"/>
          <w:sz w:val="24"/>
        </w:rPr>
        <w:t xml:space="preserve">5.5.1 </w:t>
      </w: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napToGrid w:val="0"/>
        <w:spacing w:line="360" w:lineRule="auto"/>
        <w:ind w:left="1080"/>
        <w:rPr>
          <w:rFonts w:ascii="宋体" w:hAnsi="宋体"/>
          <w:sz w:val="24"/>
        </w:rPr>
      </w:pPr>
      <w:r>
        <w:rPr>
          <w:rFonts w:hint="eastAsia" w:ascii="宋体" w:hAnsi="宋体"/>
          <w:sz w:val="24"/>
        </w:rPr>
        <w:t xml:space="preserve">5.5.2 </w:t>
      </w: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tabs>
          <w:tab w:val="left" w:pos="1080"/>
          <w:tab w:val="left" w:pos="2014"/>
        </w:tabs>
        <w:snapToGrid w:val="0"/>
        <w:spacing w:line="360" w:lineRule="auto"/>
        <w:rPr>
          <w:rFonts w:ascii="宋体" w:hAnsi="宋体"/>
          <w:sz w:val="24"/>
        </w:rPr>
      </w:pPr>
      <w:r>
        <w:rPr>
          <w:rFonts w:hint="eastAsia" w:ascii="宋体" w:hAnsi="宋体"/>
          <w:sz w:val="24"/>
        </w:rPr>
        <w:t>5.6</w:t>
      </w:r>
      <w:r>
        <w:rPr>
          <w:rFonts w:hint="eastAsia" w:ascii="宋体" w:hAnsi="宋体"/>
          <w:sz w:val="24"/>
        </w:rPr>
        <w:tab/>
      </w:r>
      <w:r>
        <w:rPr>
          <w:rFonts w:hint="eastAsia" w:ascii="宋体" w:hAnsi="宋体"/>
          <w:sz w:val="24"/>
        </w:rPr>
        <w:t>信息安全产品</w:t>
      </w:r>
    </w:p>
    <w:p>
      <w:pPr>
        <w:tabs>
          <w:tab w:val="left" w:pos="2014"/>
        </w:tabs>
        <w:snapToGrid w:val="0"/>
        <w:spacing w:line="360" w:lineRule="auto"/>
        <w:ind w:left="1080"/>
        <w:rPr>
          <w:rFonts w:ascii="宋体" w:hAnsi="宋体"/>
          <w:sz w:val="24"/>
        </w:rPr>
      </w:pPr>
      <w:r>
        <w:rPr>
          <w:rFonts w:hint="eastAsia" w:ascii="宋体" w:hAnsi="宋体"/>
          <w:sz w:val="24"/>
        </w:rPr>
        <w:t xml:space="preserve">5.6.1 </w:t>
      </w: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pPr>
        <w:pStyle w:val="6"/>
        <w:spacing w:line="360" w:lineRule="auto"/>
        <w:ind w:left="901" w:hanging="899"/>
        <w:rPr>
          <w:rFonts w:hAnsi="宋体"/>
          <w:u w:val="none"/>
        </w:rPr>
      </w:pPr>
      <w:bookmarkStart w:id="70" w:name="_Toc10211"/>
      <w:r>
        <w:rPr>
          <w:rFonts w:hint="eastAsia" w:hAnsi="宋体"/>
          <w:u w:val="none"/>
        </w:rPr>
        <w:t>6．</w:t>
      </w:r>
      <w:r>
        <w:rPr>
          <w:rFonts w:hint="eastAsia" w:hAnsi="宋体"/>
          <w:u w:val="none"/>
        </w:rPr>
        <w:tab/>
      </w:r>
      <w:r>
        <w:rPr>
          <w:rFonts w:hint="eastAsia" w:hAnsi="宋体"/>
          <w:u w:val="none"/>
        </w:rPr>
        <w:t>投标范围和投标费用</w:t>
      </w:r>
      <w:bookmarkEnd w:id="65"/>
      <w:bookmarkEnd w:id="66"/>
      <w:bookmarkEnd w:id="67"/>
      <w:bookmarkEnd w:id="70"/>
    </w:p>
    <w:p>
      <w:pPr>
        <w:spacing w:before="120" w:line="360" w:lineRule="auto"/>
        <w:ind w:left="785" w:hanging="783"/>
        <w:rPr>
          <w:rFonts w:ascii="宋体" w:hAnsi="宋体"/>
          <w:sz w:val="24"/>
        </w:rPr>
      </w:pPr>
      <w:r>
        <w:rPr>
          <w:rFonts w:hint="eastAsia" w:ascii="宋体" w:hAnsi="宋体"/>
          <w:sz w:val="24"/>
        </w:rPr>
        <w:t>6</w:t>
      </w:r>
      <w:r>
        <w:rPr>
          <w:rFonts w:ascii="宋体" w:hAnsi="宋体"/>
          <w:sz w:val="24"/>
        </w:rPr>
        <w:t>.1</w:t>
      </w:r>
      <w:r>
        <w:rPr>
          <w:rFonts w:ascii="宋体" w:hAnsi="宋体"/>
          <w:sz w:val="24"/>
        </w:rPr>
        <w:tab/>
      </w:r>
      <w:r>
        <w:rPr>
          <w:rFonts w:hint="eastAsia"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b/>
          <w:bCs/>
          <w:sz w:val="24"/>
        </w:rPr>
        <w:t>无效投标</w:t>
      </w:r>
      <w:r>
        <w:rPr>
          <w:rFonts w:hint="eastAsia" w:ascii="宋体" w:hAnsi="宋体"/>
          <w:sz w:val="24"/>
        </w:rPr>
        <w:t>。</w:t>
      </w:r>
    </w:p>
    <w:p>
      <w:pPr>
        <w:spacing w:before="120" w:line="360" w:lineRule="auto"/>
        <w:ind w:left="785" w:hanging="783"/>
        <w:rPr>
          <w:rFonts w:ascii="宋体" w:hAnsi="宋体"/>
          <w:sz w:val="24"/>
        </w:rPr>
      </w:pPr>
      <w:r>
        <w:rPr>
          <w:rFonts w:hint="eastAsia" w:ascii="宋体" w:hAnsi="宋体"/>
          <w:sz w:val="24"/>
        </w:rPr>
        <w:t>6.2    投标人应承担所有与准备和参加投标有关的费用，不论投标的结果如何，采购人和采购代理机构均无承担的义务和责任。</w:t>
      </w:r>
    </w:p>
    <w:p>
      <w:pPr>
        <w:spacing w:before="120" w:line="360" w:lineRule="auto"/>
        <w:ind w:left="785" w:hanging="783"/>
        <w:rPr>
          <w:rFonts w:ascii="宋体" w:hAnsi="宋体"/>
          <w:sz w:val="24"/>
        </w:rPr>
      </w:pPr>
    </w:p>
    <w:p>
      <w:pPr>
        <w:pStyle w:val="5"/>
        <w:spacing w:line="360" w:lineRule="auto"/>
        <w:rPr>
          <w:rFonts w:ascii="宋体" w:hAnsi="宋体" w:eastAsia="宋体"/>
          <w:sz w:val="28"/>
        </w:rPr>
      </w:pPr>
      <w:bookmarkStart w:id="71" w:name="_Toc4346"/>
      <w:bookmarkStart w:id="72" w:name="_Toc520356146"/>
      <w:r>
        <w:rPr>
          <w:rFonts w:hint="eastAsia" w:ascii="宋体" w:hAnsi="宋体" w:eastAsia="宋体"/>
          <w:sz w:val="28"/>
        </w:rPr>
        <w:t>二   招标文件</w:t>
      </w:r>
      <w:bookmarkEnd w:id="71"/>
      <w:bookmarkEnd w:id="72"/>
    </w:p>
    <w:p>
      <w:pPr>
        <w:pStyle w:val="6"/>
        <w:spacing w:line="360" w:lineRule="auto"/>
        <w:ind w:left="899" w:hanging="899"/>
        <w:rPr>
          <w:rFonts w:hAnsi="宋体"/>
          <w:u w:val="none"/>
        </w:rPr>
      </w:pPr>
      <w:bookmarkStart w:id="73" w:name="_Toc520356147"/>
      <w:bookmarkStart w:id="74" w:name="_Toc5631"/>
      <w:bookmarkStart w:id="75" w:name="_Toc134857276"/>
      <w:bookmarkStart w:id="76" w:name="_Toc163893390"/>
      <w:r>
        <w:rPr>
          <w:rFonts w:hint="eastAsia" w:hAnsi="宋体"/>
          <w:u w:val="none"/>
        </w:rPr>
        <w:t>7.</w:t>
      </w:r>
      <w:r>
        <w:rPr>
          <w:rFonts w:hint="eastAsia" w:hAnsi="宋体"/>
          <w:u w:val="none"/>
        </w:rPr>
        <w:tab/>
      </w:r>
      <w:r>
        <w:rPr>
          <w:rFonts w:hint="eastAsia" w:hAnsi="宋体"/>
          <w:u w:val="none"/>
        </w:rPr>
        <w:t>招标文件构成</w:t>
      </w:r>
      <w:bookmarkEnd w:id="73"/>
      <w:bookmarkEnd w:id="74"/>
      <w:bookmarkEnd w:id="75"/>
      <w:bookmarkEnd w:id="76"/>
    </w:p>
    <w:p>
      <w:pPr>
        <w:tabs>
          <w:tab w:val="left" w:pos="900"/>
        </w:tabs>
        <w:spacing w:before="120" w:line="360" w:lineRule="auto"/>
        <w:ind w:left="895" w:hanging="895"/>
        <w:rPr>
          <w:rFonts w:ascii="宋体" w:hAnsi="宋体"/>
          <w:sz w:val="24"/>
        </w:rPr>
      </w:pPr>
      <w:r>
        <w:rPr>
          <w:rFonts w:hint="eastAsia" w:ascii="宋体" w:hAnsi="宋体"/>
          <w:sz w:val="24"/>
        </w:rPr>
        <w:t>7.1</w:t>
      </w:r>
      <w:r>
        <w:rPr>
          <w:rFonts w:hint="eastAsia" w:ascii="宋体" w:hAnsi="宋体"/>
          <w:sz w:val="24"/>
        </w:rPr>
        <w:tab/>
      </w:r>
      <w:r>
        <w:rPr>
          <w:rFonts w:hint="eastAsia" w:ascii="宋体" w:hAnsi="宋体"/>
          <w:sz w:val="24"/>
        </w:rPr>
        <w:t>要求提供货物和服务的内容及详细技术需求、投标须知和合同条件等在招标文件中均有说明。</w:t>
      </w:r>
    </w:p>
    <w:p>
      <w:pPr>
        <w:spacing w:before="120" w:line="360" w:lineRule="auto"/>
        <w:ind w:left="895" w:firstLine="5"/>
        <w:rPr>
          <w:rFonts w:ascii="宋体" w:hAnsi="宋体"/>
          <w:sz w:val="24"/>
        </w:rPr>
      </w:pPr>
      <w:r>
        <w:rPr>
          <w:rFonts w:hint="eastAsia" w:ascii="宋体" w:hAnsi="宋体"/>
          <w:sz w:val="24"/>
        </w:rPr>
        <w:t>招标文件共七章，各册的内容如下：</w:t>
      </w:r>
    </w:p>
    <w:p>
      <w:pPr>
        <w:numPr>
          <w:ilvl w:val="0"/>
          <w:numId w:val="8"/>
        </w:numPr>
        <w:spacing w:before="120" w:line="360" w:lineRule="auto"/>
        <w:ind w:left="895" w:firstLine="5"/>
        <w:rPr>
          <w:rFonts w:ascii="宋体" w:hAnsi="宋体"/>
          <w:sz w:val="24"/>
        </w:rPr>
      </w:pPr>
      <w:r>
        <w:rPr>
          <w:rFonts w:hint="eastAsia" w:ascii="宋体" w:hAnsi="宋体"/>
          <w:sz w:val="24"/>
        </w:rPr>
        <w:t>　投标邀请</w:t>
      </w:r>
    </w:p>
    <w:p>
      <w:pPr>
        <w:numPr>
          <w:ilvl w:val="0"/>
          <w:numId w:val="8"/>
        </w:numPr>
        <w:spacing w:before="120" w:line="360" w:lineRule="auto"/>
        <w:ind w:left="895" w:firstLine="5"/>
        <w:rPr>
          <w:rFonts w:ascii="宋体" w:hAnsi="宋体"/>
          <w:sz w:val="24"/>
        </w:rPr>
      </w:pPr>
      <w:r>
        <w:rPr>
          <w:rFonts w:hint="eastAsia" w:ascii="宋体" w:hAnsi="宋体"/>
          <w:sz w:val="24"/>
        </w:rPr>
        <w:t>　投标人须知</w:t>
      </w:r>
    </w:p>
    <w:p>
      <w:pPr>
        <w:numPr>
          <w:ilvl w:val="0"/>
          <w:numId w:val="8"/>
        </w:numPr>
        <w:spacing w:before="120" w:line="360" w:lineRule="auto"/>
        <w:ind w:left="895" w:firstLine="5"/>
        <w:rPr>
          <w:rFonts w:ascii="宋体" w:hAnsi="宋体"/>
          <w:sz w:val="24"/>
        </w:rPr>
      </w:pPr>
      <w:r>
        <w:rPr>
          <w:rFonts w:hint="eastAsia" w:ascii="宋体" w:hAnsi="宋体"/>
          <w:sz w:val="24"/>
        </w:rPr>
        <w:t>　资格审查</w:t>
      </w:r>
    </w:p>
    <w:p>
      <w:pPr>
        <w:numPr>
          <w:ilvl w:val="0"/>
          <w:numId w:val="8"/>
        </w:numPr>
        <w:spacing w:before="120" w:line="360" w:lineRule="auto"/>
        <w:ind w:left="895" w:firstLine="5"/>
        <w:rPr>
          <w:rFonts w:ascii="宋体" w:hAnsi="宋体"/>
          <w:sz w:val="24"/>
        </w:rPr>
      </w:pPr>
      <w:r>
        <w:rPr>
          <w:rFonts w:hint="eastAsia" w:ascii="宋体" w:hAnsi="宋体"/>
          <w:sz w:val="24"/>
        </w:rPr>
        <w:t>　评标程序、评标方法和评标标准</w:t>
      </w:r>
    </w:p>
    <w:p>
      <w:pPr>
        <w:spacing w:before="120" w:line="360" w:lineRule="auto"/>
        <w:ind w:left="895" w:firstLine="5"/>
        <w:rPr>
          <w:rFonts w:ascii="宋体" w:hAnsi="宋体"/>
          <w:sz w:val="24"/>
        </w:rPr>
      </w:pPr>
      <w:r>
        <w:rPr>
          <w:rFonts w:hint="eastAsia" w:ascii="宋体" w:hAnsi="宋体"/>
          <w:sz w:val="24"/>
        </w:rPr>
        <w:t>第五章</w:t>
      </w:r>
      <w:r>
        <w:rPr>
          <w:rFonts w:hint="eastAsia" w:ascii="宋体" w:hAnsi="宋体"/>
          <w:sz w:val="24"/>
        </w:rPr>
        <w:tab/>
      </w:r>
      <w:r>
        <w:rPr>
          <w:rFonts w:hint="eastAsia" w:ascii="宋体" w:hAnsi="宋体"/>
          <w:sz w:val="24"/>
        </w:rPr>
        <w:t>　采购需求</w:t>
      </w:r>
    </w:p>
    <w:p>
      <w:pPr>
        <w:spacing w:before="120" w:line="360" w:lineRule="auto"/>
        <w:ind w:left="895" w:leftChars="426"/>
        <w:rPr>
          <w:rFonts w:ascii="宋体" w:hAnsi="宋体"/>
          <w:sz w:val="24"/>
        </w:rPr>
      </w:pPr>
      <w:r>
        <w:rPr>
          <w:rFonts w:hint="eastAsia" w:ascii="宋体" w:hAnsi="宋体"/>
          <w:sz w:val="24"/>
        </w:rPr>
        <w:t>第六章  拟签订的合同文本</w:t>
      </w:r>
    </w:p>
    <w:p>
      <w:pPr>
        <w:spacing w:before="120" w:line="360" w:lineRule="auto"/>
        <w:ind w:left="895"/>
        <w:rPr>
          <w:rFonts w:ascii="宋体" w:hAnsi="宋体"/>
          <w:sz w:val="24"/>
        </w:rPr>
      </w:pPr>
      <w:r>
        <w:rPr>
          <w:rFonts w:hint="eastAsia" w:ascii="宋体" w:hAnsi="宋体"/>
          <w:sz w:val="24"/>
        </w:rPr>
        <w:t>第七章　投标文件格式</w:t>
      </w:r>
    </w:p>
    <w:p>
      <w:pPr>
        <w:tabs>
          <w:tab w:val="left" w:pos="900"/>
        </w:tabs>
        <w:spacing w:before="120" w:line="360" w:lineRule="auto"/>
        <w:ind w:left="893" w:hanging="893"/>
        <w:rPr>
          <w:rFonts w:ascii="宋体" w:hAnsi="宋体"/>
          <w:sz w:val="24"/>
        </w:rPr>
      </w:pPr>
      <w:r>
        <w:rPr>
          <w:rFonts w:hint="eastAsia" w:ascii="宋体" w:hAnsi="宋体"/>
          <w:sz w:val="24"/>
        </w:rPr>
        <w:t>7</w:t>
      </w:r>
      <w:r>
        <w:rPr>
          <w:rFonts w:ascii="宋体" w:hAnsi="宋体"/>
          <w:sz w:val="24"/>
        </w:rPr>
        <w:t>.2</w:t>
      </w:r>
      <w:r>
        <w:rPr>
          <w:rFonts w:ascii="宋体" w:hAnsi="宋体"/>
          <w:sz w:val="24"/>
        </w:rPr>
        <w:tab/>
      </w:r>
      <w:r>
        <w:rPr>
          <w:rFonts w:hint="eastAsia" w:ascii="宋体" w:hAnsi="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b/>
          <w:bCs/>
          <w:sz w:val="24"/>
        </w:rPr>
        <w:t>投标无效</w:t>
      </w:r>
      <w:r>
        <w:rPr>
          <w:rFonts w:hint="eastAsia" w:ascii="宋体" w:hAnsi="宋体"/>
          <w:sz w:val="24"/>
        </w:rPr>
        <w:t>。</w:t>
      </w:r>
    </w:p>
    <w:p>
      <w:pPr>
        <w:tabs>
          <w:tab w:val="left" w:pos="900"/>
        </w:tabs>
        <w:spacing w:before="120" w:line="360" w:lineRule="auto"/>
        <w:ind w:left="893" w:hanging="893"/>
        <w:rPr>
          <w:rFonts w:ascii="宋体" w:hAnsi="宋体"/>
          <w:sz w:val="24"/>
        </w:rPr>
      </w:pPr>
      <w:r>
        <w:rPr>
          <w:rFonts w:hint="eastAsia" w:ascii="宋体" w:hAnsi="宋体"/>
          <w:sz w:val="24"/>
        </w:rPr>
        <w:t>7.3    除非另有说明，若本招标文件中引用了某一品牌、型号或生产供应商名称，均是指参照该品牌、型号或生产供应商的产品或服务。所引用的品牌、型号或生产供应商名称不构成对投标人及其投标文件的限制。若采用的技术术语与某一供应商或某一产品使用的术语相同，并非表示指定了该供应商或该产品。投标人可提供同等于或优于招标文件要求的产品和服务。</w:t>
      </w:r>
    </w:p>
    <w:p>
      <w:pPr>
        <w:tabs>
          <w:tab w:val="left" w:pos="900"/>
        </w:tabs>
        <w:spacing w:before="120" w:line="360" w:lineRule="auto"/>
        <w:ind w:left="893" w:hanging="893"/>
        <w:rPr>
          <w:rFonts w:ascii="宋体" w:hAnsi="宋体"/>
          <w:sz w:val="24"/>
        </w:rPr>
      </w:pPr>
      <w:r>
        <w:rPr>
          <w:rFonts w:hint="eastAsia" w:ascii="宋体" w:hAnsi="宋体"/>
          <w:sz w:val="24"/>
        </w:rPr>
        <w:t>7.4    除非有特殊要求，招标文件不单独提供货物安装使用地的自然环境、气候条件、公用设施等情况，投标人应自行了解。</w:t>
      </w:r>
    </w:p>
    <w:p>
      <w:pPr>
        <w:pStyle w:val="6"/>
        <w:tabs>
          <w:tab w:val="left" w:pos="900"/>
        </w:tabs>
        <w:spacing w:line="360" w:lineRule="auto"/>
        <w:ind w:left="899" w:hanging="899"/>
        <w:rPr>
          <w:rFonts w:hAnsi="宋体"/>
          <w:u w:val="none"/>
        </w:rPr>
      </w:pPr>
      <w:bookmarkStart w:id="77" w:name="_Toc163893392"/>
      <w:bookmarkStart w:id="78" w:name="_Toc134857278"/>
      <w:bookmarkStart w:id="79" w:name="_Ref467378678"/>
      <w:bookmarkStart w:id="80" w:name="_Toc520356149"/>
      <w:bookmarkStart w:id="81" w:name="_Toc24835"/>
      <w:r>
        <w:rPr>
          <w:rFonts w:hint="eastAsia" w:hAnsi="宋体"/>
          <w:u w:val="none"/>
        </w:rPr>
        <w:t>8.</w:t>
      </w:r>
      <w:r>
        <w:rPr>
          <w:rFonts w:hint="eastAsia" w:hAnsi="宋体"/>
          <w:u w:val="none"/>
        </w:rPr>
        <w:tab/>
      </w:r>
      <w:bookmarkEnd w:id="77"/>
      <w:bookmarkEnd w:id="78"/>
      <w:bookmarkEnd w:id="79"/>
      <w:bookmarkEnd w:id="80"/>
      <w:r>
        <w:rPr>
          <w:rFonts w:hint="eastAsia" w:hAnsi="宋体"/>
          <w:u w:val="none"/>
        </w:rPr>
        <w:t>对招标文件的澄清或修改</w:t>
      </w:r>
      <w:bookmarkEnd w:id="81"/>
    </w:p>
    <w:p>
      <w:pPr>
        <w:pStyle w:val="10"/>
        <w:tabs>
          <w:tab w:val="left" w:pos="900"/>
          <w:tab w:val="clear" w:pos="567"/>
        </w:tabs>
        <w:spacing w:line="360" w:lineRule="auto"/>
        <w:ind w:left="895" w:hanging="895"/>
      </w:pPr>
      <w:r>
        <w:rPr>
          <w:rFonts w:hint="eastAsia"/>
        </w:rPr>
        <w:t>8</w:t>
      </w:r>
      <w:r>
        <w:t>.1</w:t>
      </w:r>
      <w:r>
        <w:tab/>
      </w:r>
      <w:r>
        <w:rPr>
          <w:rFonts w:hint="eastAsia"/>
        </w:rPr>
        <w:t>采购人或采购代理机构对已发出的招标文件进行必要澄清或者修改的，将在原公告发布媒体上发布更正公告，并以书面形式通知所有获取招标文件的潜在投标人。</w:t>
      </w:r>
    </w:p>
    <w:p>
      <w:pPr>
        <w:pStyle w:val="10"/>
        <w:tabs>
          <w:tab w:val="left" w:pos="900"/>
          <w:tab w:val="clear" w:pos="567"/>
        </w:tabs>
        <w:spacing w:line="360" w:lineRule="auto"/>
        <w:ind w:left="895" w:hanging="895"/>
      </w:pPr>
      <w:r>
        <w:rPr>
          <w:rFonts w:hint="eastAsia"/>
        </w:rPr>
        <w:t>8</w:t>
      </w:r>
      <w:r>
        <w:t>.</w:t>
      </w:r>
      <w:r>
        <w:rPr>
          <w:rFonts w:hint="eastAsia"/>
        </w:rPr>
        <w:t>2</w:t>
      </w:r>
      <w:r>
        <w:tab/>
      </w:r>
      <w:r>
        <w:rPr>
          <w:rFonts w:hint="eastAsia"/>
        </w:rPr>
        <w:t>上述书面通知，按照获取招标文件的潜在投标人提供的联系方式以电子邮件形式发出，因提供的信息有误导致通知延迟或无法通知的，采购人或采购代理机构不承担责任。</w:t>
      </w:r>
    </w:p>
    <w:p>
      <w:pPr>
        <w:tabs>
          <w:tab w:val="left" w:pos="900"/>
        </w:tabs>
        <w:spacing w:before="120" w:line="360" w:lineRule="auto"/>
        <w:ind w:left="900" w:hanging="9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3</w:t>
      </w:r>
      <w:r>
        <w:rPr>
          <w:rFonts w:ascii="宋体" w:hAnsi="宋体"/>
          <w:sz w:val="24"/>
        </w:rPr>
        <w:tab/>
      </w:r>
      <w:r>
        <w:rPr>
          <w:rFonts w:hint="eastAsia"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澄清或修改的内容为招标文件的组成部分，对所有投标人均具有约束力。</w:t>
      </w:r>
    </w:p>
    <w:p>
      <w:pPr>
        <w:tabs>
          <w:tab w:val="left" w:pos="900"/>
        </w:tabs>
        <w:spacing w:before="120" w:line="360" w:lineRule="auto"/>
        <w:ind w:left="900" w:hanging="9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4</w:t>
      </w:r>
      <w:r>
        <w:rPr>
          <w:rFonts w:ascii="宋体" w:hAnsi="宋体"/>
          <w:sz w:val="24"/>
        </w:rPr>
        <w:tab/>
      </w:r>
      <w:r>
        <w:rPr>
          <w:rFonts w:hint="eastAsia" w:ascii="宋体" w:hAnsi="宋体"/>
          <w:sz w:val="24"/>
        </w:rPr>
        <w:t>投标人在收到澄清或修改的书面通知后，应在一个工作日内向采购代理机构回函确认，否则采购代理机构将视为其已完全知道并接受此澄清或修改的内容。</w:t>
      </w:r>
    </w:p>
    <w:p>
      <w:pPr>
        <w:pStyle w:val="5"/>
        <w:tabs>
          <w:tab w:val="left" w:pos="900"/>
        </w:tabs>
        <w:spacing w:line="360" w:lineRule="auto"/>
        <w:ind w:left="1054" w:hanging="1054"/>
        <w:rPr>
          <w:rFonts w:ascii="宋体" w:hAnsi="宋体" w:eastAsia="宋体"/>
          <w:sz w:val="28"/>
        </w:rPr>
      </w:pPr>
      <w:bookmarkStart w:id="82" w:name="_Toc516367020"/>
      <w:bookmarkStart w:id="83" w:name="_Toc520356150"/>
    </w:p>
    <w:p>
      <w:pPr>
        <w:pStyle w:val="5"/>
        <w:tabs>
          <w:tab w:val="left" w:pos="900"/>
        </w:tabs>
        <w:spacing w:line="240" w:lineRule="auto"/>
        <w:ind w:left="1054" w:hanging="1054"/>
        <w:rPr>
          <w:rFonts w:ascii="宋体" w:hAnsi="宋体" w:eastAsia="宋体"/>
          <w:sz w:val="28"/>
        </w:rPr>
      </w:pPr>
      <w:bookmarkStart w:id="84" w:name="_Toc24815"/>
      <w:r>
        <w:rPr>
          <w:rFonts w:hint="eastAsia" w:ascii="宋体" w:hAnsi="宋体" w:eastAsia="宋体"/>
          <w:sz w:val="28"/>
        </w:rPr>
        <w:t>三   投标文件</w:t>
      </w:r>
      <w:bookmarkEnd w:id="82"/>
      <w:r>
        <w:rPr>
          <w:rFonts w:hint="eastAsia" w:ascii="宋体" w:hAnsi="宋体" w:eastAsia="宋体"/>
          <w:sz w:val="28"/>
        </w:rPr>
        <w:t>的编制</w:t>
      </w:r>
      <w:bookmarkEnd w:id="83"/>
      <w:bookmarkEnd w:id="84"/>
    </w:p>
    <w:p>
      <w:pPr>
        <w:pStyle w:val="6"/>
        <w:tabs>
          <w:tab w:val="left" w:pos="900"/>
        </w:tabs>
        <w:spacing w:line="360" w:lineRule="auto"/>
        <w:ind w:left="904" w:hanging="904"/>
        <w:rPr>
          <w:rFonts w:hAnsi="宋体"/>
          <w:u w:val="none"/>
        </w:rPr>
      </w:pPr>
      <w:bookmarkStart w:id="85" w:name="_Toc520356151"/>
      <w:bookmarkStart w:id="86" w:name="_Toc12463"/>
      <w:bookmarkStart w:id="87" w:name="_Toc134857280"/>
      <w:bookmarkStart w:id="88" w:name="_Toc516367021"/>
      <w:bookmarkStart w:id="89" w:name="_Toc163893394"/>
      <w:r>
        <w:rPr>
          <w:rFonts w:hint="eastAsia" w:hAnsi="宋体"/>
          <w:u w:val="none"/>
        </w:rPr>
        <w:t>9</w:t>
      </w:r>
      <w:r>
        <w:rPr>
          <w:rFonts w:hAnsi="宋体"/>
          <w:u w:val="none"/>
        </w:rPr>
        <w:t>.</w:t>
      </w:r>
      <w:r>
        <w:rPr>
          <w:rFonts w:hAnsi="宋体"/>
          <w:u w:val="none"/>
        </w:rPr>
        <w:tab/>
      </w:r>
      <w:r>
        <w:rPr>
          <w:rFonts w:hint="eastAsia" w:hAnsi="宋体"/>
          <w:u w:val="none"/>
        </w:rPr>
        <w:t>投标语言及投标文件中计量单位的使用</w:t>
      </w:r>
      <w:bookmarkEnd w:id="85"/>
      <w:bookmarkEnd w:id="86"/>
      <w:bookmarkEnd w:id="87"/>
      <w:bookmarkEnd w:id="88"/>
      <w:bookmarkEnd w:id="89"/>
    </w:p>
    <w:p>
      <w:pPr>
        <w:tabs>
          <w:tab w:val="left" w:pos="900"/>
        </w:tabs>
        <w:spacing w:before="120" w:line="360" w:lineRule="auto"/>
        <w:ind w:left="900" w:hanging="900"/>
        <w:rPr>
          <w:rFonts w:ascii="宋体" w:hAnsi="宋体"/>
          <w:sz w:val="24"/>
        </w:rPr>
      </w:pPr>
      <w:bookmarkStart w:id="90" w:name="_Toc516367022"/>
      <w:bookmarkStart w:id="91" w:name="_Ref467306676"/>
      <w:bookmarkStart w:id="92" w:name="_Ref467306195"/>
      <w:bookmarkStart w:id="93" w:name="_Toc163893395"/>
      <w:bookmarkStart w:id="94" w:name="_Toc134857281"/>
      <w:bookmarkStart w:id="95" w:name="_Toc520356152"/>
      <w:r>
        <w:rPr>
          <w:rFonts w:hint="eastAsia" w:ascii="宋体" w:hAnsi="宋体"/>
          <w:sz w:val="24"/>
        </w:rPr>
        <w:t>9</w:t>
      </w:r>
      <w:r>
        <w:rPr>
          <w:rFonts w:ascii="宋体" w:hAnsi="宋体"/>
          <w:sz w:val="24"/>
        </w:rPr>
        <w:t>.</w:t>
      </w:r>
      <w:r>
        <w:rPr>
          <w:rFonts w:hint="eastAsia" w:ascii="宋体" w:hAnsi="宋体"/>
          <w:sz w:val="24"/>
        </w:rPr>
        <w:t>1</w:t>
      </w:r>
      <w:r>
        <w:rPr>
          <w:rFonts w:ascii="宋体" w:hAnsi="宋体"/>
          <w:sz w:val="24"/>
        </w:rPr>
        <w:tab/>
      </w:r>
      <w:r>
        <w:rPr>
          <w:rFonts w:hint="eastAsia"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tabs>
          <w:tab w:val="left" w:pos="900"/>
        </w:tabs>
        <w:spacing w:before="120" w:line="360" w:lineRule="auto"/>
        <w:ind w:left="900" w:hanging="900"/>
        <w:rPr>
          <w:rFonts w:ascii="宋体" w:hAnsi="宋体"/>
          <w:sz w:val="24"/>
        </w:rPr>
      </w:pPr>
      <w:r>
        <w:rPr>
          <w:rFonts w:hint="eastAsia" w:ascii="宋体" w:hAnsi="宋体"/>
          <w:sz w:val="24"/>
        </w:rPr>
        <w:t>9.2    投标文件中所使用的计量单位，除招标文件中有特殊要求外，应采用中华人民共和国法定计量单位。</w:t>
      </w:r>
    </w:p>
    <w:p>
      <w:pPr>
        <w:pStyle w:val="6"/>
        <w:tabs>
          <w:tab w:val="left" w:pos="900"/>
        </w:tabs>
        <w:spacing w:line="360" w:lineRule="auto"/>
        <w:ind w:left="899" w:hanging="899"/>
        <w:rPr>
          <w:rFonts w:hAnsi="宋体"/>
          <w:u w:val="none"/>
        </w:rPr>
      </w:pPr>
      <w:bookmarkStart w:id="96" w:name="_Toc15254"/>
      <w:r>
        <w:rPr>
          <w:rFonts w:hint="eastAsia" w:hAnsi="宋体"/>
          <w:u w:val="none"/>
        </w:rPr>
        <w:t>10</w:t>
      </w:r>
      <w:r>
        <w:rPr>
          <w:rFonts w:hAnsi="宋体"/>
          <w:u w:val="none"/>
        </w:rPr>
        <w:t>.</w:t>
      </w:r>
      <w:r>
        <w:rPr>
          <w:rFonts w:hAnsi="宋体"/>
          <w:u w:val="none"/>
        </w:rPr>
        <w:tab/>
      </w:r>
      <w:r>
        <w:rPr>
          <w:rFonts w:hint="eastAsia" w:hAnsi="宋体"/>
          <w:u w:val="none"/>
        </w:rPr>
        <w:t>投标文件</w:t>
      </w:r>
      <w:bookmarkEnd w:id="90"/>
      <w:bookmarkEnd w:id="91"/>
      <w:bookmarkEnd w:id="92"/>
      <w:r>
        <w:rPr>
          <w:rFonts w:hint="eastAsia" w:hAnsi="宋体"/>
          <w:u w:val="none"/>
        </w:rPr>
        <w:t>构成</w:t>
      </w:r>
      <w:bookmarkEnd w:id="93"/>
      <w:bookmarkEnd w:id="94"/>
      <w:bookmarkEnd w:id="95"/>
      <w:bookmarkEnd w:id="96"/>
    </w:p>
    <w:p>
      <w:pPr>
        <w:spacing w:before="120" w:line="360" w:lineRule="auto"/>
        <w:ind w:left="900" w:hanging="900"/>
        <w:rPr>
          <w:rFonts w:ascii="宋体" w:hAnsi="宋体"/>
          <w:sz w:val="24"/>
        </w:rPr>
      </w:pPr>
      <w:bookmarkStart w:id="97" w:name="_Ref467052588"/>
      <w:r>
        <w:rPr>
          <w:rFonts w:hint="eastAsia" w:ascii="宋体" w:hAnsi="宋体"/>
          <w:sz w:val="24"/>
        </w:rPr>
        <w:t>10</w:t>
      </w:r>
      <w:r>
        <w:rPr>
          <w:rFonts w:ascii="宋体" w:hAnsi="宋体"/>
          <w:sz w:val="24"/>
        </w:rPr>
        <w:t>.1</w:t>
      </w:r>
      <w:r>
        <w:rPr>
          <w:rFonts w:ascii="宋体" w:hAnsi="宋体"/>
          <w:sz w:val="24"/>
        </w:rPr>
        <w:tab/>
      </w:r>
      <w:bookmarkEnd w:id="97"/>
      <w:r>
        <w:rPr>
          <w:rFonts w:hint="eastAsia" w:ascii="宋体" w:hAnsi="宋体"/>
          <w:sz w:val="24"/>
        </w:rPr>
        <w:t>投标人应当按照招标文件的要求编制投标文件。投标文件的部分格式要求，见第七章《投标文件格式》。投标文件按如下顺序装订：</w:t>
      </w:r>
    </w:p>
    <w:p>
      <w:pPr>
        <w:tabs>
          <w:tab w:val="left" w:pos="900"/>
          <w:tab w:val="left" w:pos="5580"/>
        </w:tabs>
        <w:spacing w:line="360" w:lineRule="auto"/>
        <w:ind w:left="899" w:firstLine="1"/>
        <w:rPr>
          <w:rFonts w:ascii="宋体" w:hAnsi="宋体"/>
          <w:sz w:val="24"/>
        </w:rPr>
      </w:pPr>
      <w:r>
        <w:rPr>
          <w:rFonts w:hint="eastAsia" w:ascii="宋体" w:hAnsi="宋体"/>
          <w:sz w:val="24"/>
        </w:rPr>
        <w:t>1投标书（实质性格式）</w:t>
      </w:r>
    </w:p>
    <w:p>
      <w:pPr>
        <w:tabs>
          <w:tab w:val="left" w:pos="900"/>
          <w:tab w:val="left" w:pos="5580"/>
        </w:tabs>
        <w:spacing w:line="360" w:lineRule="auto"/>
        <w:ind w:left="899" w:firstLine="1"/>
        <w:rPr>
          <w:rFonts w:ascii="宋体" w:hAnsi="宋体"/>
          <w:sz w:val="24"/>
        </w:rPr>
      </w:pPr>
      <w:r>
        <w:rPr>
          <w:rFonts w:hint="eastAsia" w:ascii="宋体" w:hAnsi="宋体"/>
          <w:sz w:val="24"/>
        </w:rPr>
        <w:t>2开标一览表（实质性格式）</w:t>
      </w:r>
    </w:p>
    <w:p>
      <w:pPr>
        <w:tabs>
          <w:tab w:val="left" w:pos="900"/>
          <w:tab w:val="left" w:pos="5580"/>
        </w:tabs>
        <w:spacing w:line="360" w:lineRule="auto"/>
        <w:ind w:left="899" w:firstLine="1"/>
        <w:rPr>
          <w:rFonts w:ascii="宋体" w:hAnsi="宋体"/>
          <w:sz w:val="24"/>
        </w:rPr>
      </w:pPr>
      <w:r>
        <w:rPr>
          <w:rFonts w:hint="eastAsia" w:ascii="宋体" w:hAnsi="宋体"/>
          <w:sz w:val="24"/>
        </w:rPr>
        <w:t>3投标分项报价表</w:t>
      </w:r>
    </w:p>
    <w:p>
      <w:pPr>
        <w:tabs>
          <w:tab w:val="left" w:pos="900"/>
          <w:tab w:val="left" w:pos="5580"/>
        </w:tabs>
        <w:spacing w:line="360" w:lineRule="auto"/>
        <w:ind w:left="899" w:firstLine="1"/>
        <w:rPr>
          <w:rFonts w:ascii="宋体" w:hAnsi="宋体"/>
          <w:sz w:val="24"/>
        </w:rPr>
      </w:pPr>
      <w:r>
        <w:rPr>
          <w:rFonts w:hint="eastAsia" w:ascii="宋体" w:hAnsi="宋体"/>
          <w:sz w:val="24"/>
        </w:rPr>
        <w:t>4采购需求偏离表（实质性格式）</w:t>
      </w:r>
    </w:p>
    <w:p>
      <w:pPr>
        <w:tabs>
          <w:tab w:val="left" w:pos="900"/>
          <w:tab w:val="left" w:pos="5580"/>
        </w:tabs>
        <w:spacing w:line="360" w:lineRule="auto"/>
        <w:ind w:left="899" w:firstLine="1"/>
        <w:rPr>
          <w:rFonts w:ascii="宋体" w:hAnsi="宋体"/>
          <w:sz w:val="24"/>
        </w:rPr>
      </w:pPr>
      <w:r>
        <w:rPr>
          <w:rFonts w:hint="eastAsia" w:ascii="宋体" w:hAnsi="宋体"/>
          <w:sz w:val="24"/>
        </w:rPr>
        <w:t>5合同条款偏离表（实质性格式）</w:t>
      </w:r>
    </w:p>
    <w:p>
      <w:pPr>
        <w:tabs>
          <w:tab w:val="left" w:pos="900"/>
          <w:tab w:val="left" w:pos="5580"/>
        </w:tabs>
        <w:spacing w:line="360" w:lineRule="auto"/>
        <w:ind w:left="899" w:firstLine="1"/>
        <w:rPr>
          <w:rFonts w:ascii="宋体" w:hAnsi="宋体"/>
          <w:sz w:val="24"/>
        </w:rPr>
      </w:pPr>
      <w:bookmarkStart w:id="98" w:name="_Hlt520276204"/>
      <w:bookmarkStart w:id="99" w:name="_Hlt520274929"/>
      <w:r>
        <w:rPr>
          <w:rFonts w:hint="eastAsia" w:ascii="宋体" w:hAnsi="宋体"/>
          <w:sz w:val="24"/>
        </w:rPr>
        <w:t>6资格证明文件（要求详见第三章《资格审查》）</w:t>
      </w:r>
      <w:bookmarkEnd w:id="98"/>
      <w:bookmarkEnd w:id="99"/>
    </w:p>
    <w:p>
      <w:pPr>
        <w:tabs>
          <w:tab w:val="left" w:pos="900"/>
          <w:tab w:val="left" w:pos="5580"/>
        </w:tabs>
        <w:spacing w:line="360" w:lineRule="auto"/>
        <w:ind w:left="899" w:firstLine="1"/>
        <w:rPr>
          <w:rFonts w:ascii="宋体" w:hAnsi="宋体"/>
          <w:sz w:val="24"/>
        </w:rPr>
      </w:pPr>
      <w:r>
        <w:rPr>
          <w:rFonts w:hint="eastAsia" w:ascii="宋体" w:hAnsi="宋体"/>
          <w:sz w:val="24"/>
        </w:rPr>
        <w:t>7业绩证明材料</w:t>
      </w:r>
    </w:p>
    <w:p>
      <w:pPr>
        <w:tabs>
          <w:tab w:val="left" w:pos="900"/>
          <w:tab w:val="left" w:pos="5580"/>
        </w:tabs>
        <w:spacing w:line="360" w:lineRule="auto"/>
        <w:ind w:left="899" w:firstLine="1"/>
        <w:rPr>
          <w:rFonts w:ascii="宋体" w:hAnsi="宋体"/>
          <w:sz w:val="24"/>
        </w:rPr>
      </w:pPr>
      <w:r>
        <w:rPr>
          <w:rFonts w:hint="eastAsia" w:ascii="宋体" w:hAnsi="宋体"/>
          <w:sz w:val="24"/>
        </w:rPr>
        <w:t>8中小企业声明函</w:t>
      </w:r>
    </w:p>
    <w:p>
      <w:pPr>
        <w:tabs>
          <w:tab w:val="left" w:pos="900"/>
          <w:tab w:val="left" w:pos="5580"/>
        </w:tabs>
        <w:spacing w:line="360" w:lineRule="auto"/>
        <w:ind w:left="899" w:firstLine="1"/>
        <w:rPr>
          <w:rFonts w:ascii="宋体" w:hAnsi="宋体"/>
          <w:sz w:val="24"/>
        </w:rPr>
      </w:pPr>
      <w:r>
        <w:rPr>
          <w:rFonts w:hint="eastAsia" w:ascii="宋体" w:hAnsi="宋体"/>
          <w:sz w:val="24"/>
        </w:rPr>
        <w:t>9招标文件要求的和投标人认为必要的其它文件，如本须知第10.3-10.5条的所有文件</w:t>
      </w:r>
    </w:p>
    <w:p>
      <w:pPr>
        <w:spacing w:before="120" w:line="360" w:lineRule="auto"/>
        <w:ind w:left="900" w:hanging="900"/>
      </w:pPr>
      <w:r>
        <w:rPr>
          <w:rFonts w:hint="eastAsia" w:ascii="宋体" w:hAnsi="宋体"/>
          <w:sz w:val="24"/>
        </w:rPr>
        <w:t>10.2</w:t>
      </w:r>
      <w:r>
        <w:rPr>
          <w:rFonts w:ascii="宋体" w:hAnsi="宋体"/>
          <w:sz w:val="24"/>
        </w:rPr>
        <w:tab/>
      </w:r>
      <w:r>
        <w:rPr>
          <w:rFonts w:hint="eastAsia" w:ascii="宋体" w:hAnsi="宋体"/>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b/>
          <w:bCs/>
          <w:sz w:val="24"/>
        </w:rPr>
        <w:t>投标无效</w:t>
      </w:r>
      <w:r>
        <w:rPr>
          <w:rFonts w:hint="eastAsia" w:ascii="宋体" w:hAnsi="宋体"/>
          <w:sz w:val="24"/>
        </w:rPr>
        <w:t>。未标记“实质性格式”的文件和招标文件未提供格式的内容，可由投标人自行编写。</w:t>
      </w:r>
    </w:p>
    <w:p>
      <w:pPr>
        <w:spacing w:before="120" w:line="360" w:lineRule="auto"/>
        <w:ind w:left="900" w:hanging="900"/>
        <w:rPr>
          <w:rFonts w:ascii="宋体" w:hAnsi="宋体"/>
          <w:sz w:val="24"/>
        </w:rPr>
      </w:pPr>
      <w:r>
        <w:rPr>
          <w:rFonts w:hint="eastAsia" w:ascii="宋体" w:hAnsi="宋体"/>
          <w:sz w:val="24"/>
        </w:rPr>
        <w:t>10.3</w:t>
      </w:r>
      <w:r>
        <w:rPr>
          <w:rFonts w:hint="eastAsia" w:ascii="宋体" w:hAnsi="宋体"/>
          <w:sz w:val="24"/>
        </w:rPr>
        <w:tab/>
      </w:r>
      <w:r>
        <w:rPr>
          <w:rFonts w:hint="eastAsia" w:ascii="宋体" w:hAnsi="宋体"/>
          <w:sz w:val="24"/>
        </w:rPr>
        <w:t>第四章《评标程序、评标方法和评标标准》中涉及的证明文件。</w:t>
      </w:r>
    </w:p>
    <w:p>
      <w:pPr>
        <w:spacing w:before="120" w:line="360" w:lineRule="auto"/>
        <w:ind w:left="900" w:hanging="900"/>
        <w:rPr>
          <w:rFonts w:ascii="宋体" w:hAnsi="宋体"/>
          <w:sz w:val="24"/>
        </w:rPr>
      </w:pPr>
      <w:r>
        <w:rPr>
          <w:rFonts w:hint="eastAsia" w:ascii="宋体" w:hAnsi="宋体"/>
          <w:sz w:val="24"/>
        </w:rPr>
        <w:t>10.4</w:t>
      </w:r>
      <w:r>
        <w:rPr>
          <w:rFonts w:hint="eastAsia" w:ascii="宋体" w:hAnsi="宋体"/>
          <w:sz w:val="24"/>
        </w:rPr>
        <w:tab/>
      </w: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spacing w:before="120" w:line="360" w:lineRule="auto"/>
        <w:ind w:left="900" w:hanging="900"/>
        <w:rPr>
          <w:rFonts w:ascii="宋体" w:hAnsi="宋体"/>
          <w:sz w:val="24"/>
        </w:rPr>
      </w:pPr>
      <w:r>
        <w:rPr>
          <w:rFonts w:hint="eastAsia" w:ascii="宋体" w:hAnsi="宋体"/>
          <w:sz w:val="24"/>
        </w:rPr>
        <w:t>10.5</w:t>
      </w:r>
      <w:r>
        <w:rPr>
          <w:rFonts w:hint="eastAsia" w:ascii="宋体" w:hAnsi="宋体"/>
          <w:sz w:val="24"/>
        </w:rPr>
        <w:tab/>
      </w:r>
      <w:r>
        <w:rPr>
          <w:rFonts w:hint="eastAsia" w:ascii="宋体" w:hAnsi="宋体"/>
          <w:sz w:val="24"/>
        </w:rPr>
        <w:t>投标人认为应附的其他材料。</w:t>
      </w:r>
    </w:p>
    <w:p>
      <w:pPr>
        <w:pStyle w:val="6"/>
        <w:spacing w:line="360" w:lineRule="auto"/>
        <w:rPr>
          <w:rFonts w:hAnsi="宋体"/>
          <w:u w:val="none"/>
        </w:rPr>
      </w:pPr>
      <w:bookmarkStart w:id="100" w:name="_Toc134857283"/>
      <w:bookmarkStart w:id="101" w:name="_Toc163893397"/>
      <w:bookmarkStart w:id="102" w:name="_Toc12887"/>
      <w:bookmarkStart w:id="103" w:name="_Toc520356155"/>
      <w:r>
        <w:rPr>
          <w:rFonts w:hAnsi="宋体"/>
          <w:u w:val="none"/>
        </w:rPr>
        <w:t>1</w:t>
      </w:r>
      <w:r>
        <w:rPr>
          <w:rFonts w:hint="eastAsia" w:hAnsi="宋体"/>
          <w:u w:val="none"/>
        </w:rPr>
        <w:t>1</w:t>
      </w:r>
      <w:r>
        <w:rPr>
          <w:rFonts w:hAnsi="宋体"/>
          <w:u w:val="none"/>
        </w:rPr>
        <w:t>.</w:t>
      </w:r>
      <w:r>
        <w:rPr>
          <w:rFonts w:hAnsi="宋体"/>
          <w:u w:val="none"/>
        </w:rPr>
        <w:tab/>
      </w:r>
      <w:r>
        <w:rPr>
          <w:rFonts w:hAnsi="宋体"/>
          <w:u w:val="none"/>
        </w:rPr>
        <w:tab/>
      </w:r>
      <w:r>
        <w:rPr>
          <w:rFonts w:hint="eastAsia" w:hAnsi="宋体"/>
          <w:u w:val="none"/>
        </w:rPr>
        <w:t>投标报价</w:t>
      </w:r>
      <w:bookmarkEnd w:id="100"/>
      <w:bookmarkEnd w:id="101"/>
      <w:bookmarkEnd w:id="102"/>
      <w:bookmarkEnd w:id="103"/>
    </w:p>
    <w:p>
      <w:pPr>
        <w:spacing w:line="360" w:lineRule="auto"/>
        <w:ind w:left="900" w:hanging="900"/>
        <w:rPr>
          <w:rFonts w:ascii="宋体" w:hAnsi="宋体"/>
          <w:sz w:val="24"/>
        </w:rPr>
      </w:pPr>
      <w:r>
        <w:rPr>
          <w:rFonts w:ascii="宋体" w:hAnsi="宋体"/>
          <w:sz w:val="24"/>
        </w:rPr>
        <w:t>1</w:t>
      </w:r>
      <w:r>
        <w:rPr>
          <w:rFonts w:hint="eastAsia" w:ascii="宋体" w:hAnsi="宋体"/>
          <w:sz w:val="24"/>
        </w:rPr>
        <w:t>1</w:t>
      </w:r>
      <w:r>
        <w:rPr>
          <w:rFonts w:ascii="宋体" w:hAnsi="宋体"/>
          <w:sz w:val="24"/>
        </w:rPr>
        <w:t>.1</w:t>
      </w:r>
      <w:r>
        <w:rPr>
          <w:rFonts w:ascii="宋体" w:hAnsi="宋体"/>
          <w:sz w:val="24"/>
        </w:rPr>
        <w:tab/>
      </w:r>
      <w:r>
        <w:rPr>
          <w:rFonts w:hint="eastAsia" w:ascii="宋体" w:hAnsi="宋体"/>
          <w:sz w:val="24"/>
        </w:rPr>
        <w:t>除非招标文件另有说明，所有投标均以</w:t>
      </w:r>
      <w:r>
        <w:rPr>
          <w:rFonts w:hint="eastAsia" w:ascii="宋体" w:hAnsi="宋体"/>
          <w:b/>
          <w:sz w:val="24"/>
        </w:rPr>
        <w:t>人民币报价（现场交货价），不接受其他货币的报价。</w:t>
      </w:r>
      <w:r>
        <w:rPr>
          <w:rFonts w:hint="eastAsia" w:ascii="宋体" w:hAnsi="宋体"/>
          <w:sz w:val="24"/>
        </w:rPr>
        <w:t>投标人的投标报价应遵守</w:t>
      </w:r>
      <w:r>
        <w:rPr>
          <w:rFonts w:ascii="宋体" w:hAnsi="宋体"/>
          <w:sz w:val="24"/>
        </w:rPr>
        <w:t xml:space="preserve"> “</w:t>
      </w:r>
      <w:r>
        <w:rPr>
          <w:rFonts w:hint="eastAsia" w:ascii="宋体" w:hAnsi="宋体"/>
          <w:sz w:val="24"/>
        </w:rPr>
        <w:t>中华人民共和国价格法</w:t>
      </w:r>
      <w:r>
        <w:rPr>
          <w:rFonts w:ascii="宋体" w:hAnsi="宋体"/>
          <w:sz w:val="24"/>
        </w:rPr>
        <w:t>”</w:t>
      </w:r>
      <w:r>
        <w:rPr>
          <w:rFonts w:hint="eastAsia" w:ascii="宋体" w:hAnsi="宋体"/>
          <w:sz w:val="24"/>
        </w:rPr>
        <w:t>。</w:t>
      </w:r>
    </w:p>
    <w:p>
      <w:pPr>
        <w:spacing w:before="120" w:line="360" w:lineRule="auto"/>
        <w:ind w:left="900" w:hanging="900"/>
        <w:rPr>
          <w:rFonts w:ascii="宋体" w:hAnsi="宋体"/>
          <w:sz w:val="24"/>
        </w:rPr>
      </w:pPr>
      <w:r>
        <w:rPr>
          <w:rFonts w:ascii="宋体" w:hAnsi="宋体"/>
          <w:sz w:val="24"/>
        </w:rPr>
        <w:t>1</w:t>
      </w:r>
      <w:r>
        <w:rPr>
          <w:rFonts w:hint="eastAsia" w:ascii="宋体" w:hAnsi="宋体"/>
          <w:sz w:val="24"/>
        </w:rPr>
        <w:t>1</w:t>
      </w:r>
      <w:r>
        <w:rPr>
          <w:rFonts w:ascii="宋体" w:hAnsi="宋体"/>
          <w:sz w:val="24"/>
        </w:rPr>
        <w:t>.2</w:t>
      </w:r>
      <w:r>
        <w:rPr>
          <w:rFonts w:ascii="宋体" w:hAnsi="宋体"/>
          <w:sz w:val="24"/>
        </w:rPr>
        <w:tab/>
      </w:r>
      <w:r>
        <w:rPr>
          <w:rFonts w:hint="eastAsia" w:ascii="宋体" w:hAnsi="宋体"/>
          <w:sz w:val="24"/>
        </w:rPr>
        <w:t>投标人应在投标分项报价表上标明投标货物及相关服务的单价（如适用）和总价，并由法定代表人或其授权代表签署。</w:t>
      </w:r>
    </w:p>
    <w:p>
      <w:pPr>
        <w:spacing w:before="120" w:line="360" w:lineRule="auto"/>
        <w:ind w:left="900" w:hanging="900"/>
        <w:rPr>
          <w:rFonts w:ascii="宋体" w:hAnsi="宋体"/>
          <w:sz w:val="24"/>
        </w:rPr>
      </w:pPr>
      <w:r>
        <w:rPr>
          <w:rFonts w:ascii="宋体" w:hAnsi="宋体"/>
          <w:sz w:val="24"/>
        </w:rPr>
        <w:t>1</w:t>
      </w:r>
      <w:r>
        <w:rPr>
          <w:rFonts w:hint="eastAsia" w:ascii="宋体" w:hAnsi="宋体"/>
          <w:sz w:val="24"/>
        </w:rPr>
        <w:t>1</w:t>
      </w:r>
      <w:r>
        <w:rPr>
          <w:rFonts w:ascii="宋体" w:hAnsi="宋体"/>
          <w:sz w:val="24"/>
        </w:rPr>
        <w:t>.3</w:t>
      </w:r>
      <w:r>
        <w:rPr>
          <w:rFonts w:ascii="宋体" w:hAnsi="宋体"/>
          <w:sz w:val="24"/>
        </w:rPr>
        <w:tab/>
      </w:r>
      <w:r>
        <w:rPr>
          <w:rFonts w:hint="eastAsia" w:ascii="宋体" w:hAnsi="宋体"/>
          <w:sz w:val="24"/>
        </w:rPr>
        <w:t>投标人的报价应包括为完成本项目所发生的一切费用和税费，招标人将不再支付报价以外的任何费用。投标人的报价应包括但不限于下列内容，《投标人须知资料表》中有特殊规定的，从其规定。</w:t>
      </w:r>
    </w:p>
    <w:p>
      <w:pPr>
        <w:snapToGrid w:val="0"/>
        <w:spacing w:line="360" w:lineRule="auto"/>
        <w:ind w:left="1080"/>
        <w:rPr>
          <w:rFonts w:ascii="宋体" w:hAnsi="宋体"/>
          <w:sz w:val="24"/>
        </w:rPr>
      </w:pPr>
      <w:r>
        <w:rPr>
          <w:rFonts w:hint="eastAsia" w:ascii="宋体" w:hAnsi="宋体"/>
          <w:sz w:val="24"/>
        </w:rPr>
        <w:t>11.3.1</w:t>
      </w: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snapToGrid w:val="0"/>
        <w:spacing w:line="360" w:lineRule="auto"/>
        <w:ind w:left="1080"/>
        <w:rPr>
          <w:rFonts w:ascii="宋体" w:hAnsi="宋体"/>
          <w:sz w:val="24"/>
        </w:rPr>
      </w:pPr>
      <w:r>
        <w:rPr>
          <w:rFonts w:hint="eastAsia" w:ascii="宋体" w:hAnsi="宋体"/>
          <w:sz w:val="24"/>
        </w:rPr>
        <w:t xml:space="preserve">11.3.2 </w:t>
      </w:r>
      <w:r>
        <w:rPr>
          <w:rFonts w:ascii="宋体" w:hAnsi="宋体"/>
          <w:sz w:val="24"/>
        </w:rPr>
        <w:t xml:space="preserve">按照招标文件要求完成本项目的全部相关服务费用。 </w:t>
      </w:r>
    </w:p>
    <w:p>
      <w:pPr>
        <w:spacing w:before="120" w:line="360" w:lineRule="auto"/>
        <w:ind w:left="900" w:hanging="900"/>
        <w:rPr>
          <w:rFonts w:ascii="宋体" w:hAnsi="宋体"/>
          <w:sz w:val="24"/>
        </w:rPr>
      </w:pPr>
      <w:r>
        <w:rPr>
          <w:rFonts w:hint="eastAsia" w:ascii="宋体" w:hAnsi="宋体"/>
          <w:sz w:val="24"/>
        </w:rPr>
        <w:t>11.4</w:t>
      </w:r>
      <w:r>
        <w:rPr>
          <w:rFonts w:hint="eastAsia" w:ascii="宋体" w:hAnsi="宋体"/>
          <w:sz w:val="24"/>
        </w:rPr>
        <w:tab/>
      </w:r>
      <w:r>
        <w:rPr>
          <w:rFonts w:hint="eastAsia" w:ascii="宋体" w:hAnsi="宋体"/>
          <w:sz w:val="24"/>
        </w:rPr>
        <w:t>采购人不得向供应商索要或者接受其给予的赠品、回扣或者与采购无关的其他商品、服务。</w:t>
      </w:r>
    </w:p>
    <w:p>
      <w:pPr>
        <w:tabs>
          <w:tab w:val="left" w:pos="900"/>
        </w:tabs>
        <w:spacing w:before="120" w:line="360" w:lineRule="auto"/>
        <w:ind w:left="900" w:hanging="90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w:t>
      </w:r>
      <w:r>
        <w:rPr>
          <w:rFonts w:ascii="宋体" w:hAnsi="宋体"/>
          <w:sz w:val="24"/>
        </w:rPr>
        <w:tab/>
      </w:r>
      <w:r>
        <w:rPr>
          <w:rFonts w:hint="eastAsia" w:ascii="宋体" w:hAnsi="宋体"/>
          <w:sz w:val="24"/>
        </w:rPr>
        <w:t>投标人所报的各分项投标单价在合同履行过程中是固定不变的，不得以任何理由予以变更。任何包含价格调整要求的投标，其</w:t>
      </w:r>
      <w:r>
        <w:rPr>
          <w:rFonts w:hint="eastAsia" w:ascii="宋体" w:hAnsi="宋体"/>
          <w:b/>
          <w:bCs/>
          <w:sz w:val="24"/>
        </w:rPr>
        <w:t>投标无效</w:t>
      </w:r>
      <w:r>
        <w:rPr>
          <w:rFonts w:hint="eastAsia" w:ascii="宋体" w:hAnsi="宋体"/>
          <w:sz w:val="24"/>
        </w:rPr>
        <w:t>。</w:t>
      </w:r>
    </w:p>
    <w:p>
      <w:pPr>
        <w:tabs>
          <w:tab w:val="left" w:pos="900"/>
        </w:tabs>
        <w:spacing w:before="120" w:line="360" w:lineRule="auto"/>
        <w:ind w:left="900" w:hanging="900"/>
        <w:rPr>
          <w:rFonts w:ascii="宋体" w:hAnsi="宋体"/>
          <w:sz w:val="24"/>
        </w:rPr>
      </w:pPr>
      <w:r>
        <w:rPr>
          <w:rFonts w:hint="eastAsia" w:ascii="宋体" w:hAnsi="宋体"/>
          <w:sz w:val="24"/>
        </w:rPr>
        <w:t>11.6</w:t>
      </w:r>
      <w:r>
        <w:rPr>
          <w:rFonts w:hint="eastAsia" w:ascii="宋体" w:hAnsi="宋体"/>
          <w:sz w:val="24"/>
        </w:rPr>
        <w:tab/>
      </w:r>
      <w:r>
        <w:rPr>
          <w:rFonts w:hint="eastAsia" w:ascii="宋体" w:hAnsi="宋体"/>
          <w:sz w:val="24"/>
        </w:rPr>
        <w:t>对于一个包，投标人只允许对该包有一个总报价，任何有选择性或可调整的报价（或多个方案）的投标将导致其</w:t>
      </w:r>
      <w:r>
        <w:rPr>
          <w:rFonts w:hint="eastAsia" w:ascii="宋体" w:hAnsi="宋体"/>
          <w:b/>
          <w:bCs/>
          <w:sz w:val="24"/>
        </w:rPr>
        <w:t>投标无效</w:t>
      </w:r>
      <w:r>
        <w:rPr>
          <w:rFonts w:hint="eastAsia" w:ascii="宋体" w:hAnsi="宋体"/>
          <w:sz w:val="24"/>
        </w:rPr>
        <w:t>。</w:t>
      </w:r>
    </w:p>
    <w:p>
      <w:pPr>
        <w:tabs>
          <w:tab w:val="left" w:pos="900"/>
        </w:tabs>
        <w:spacing w:before="120" w:line="360" w:lineRule="auto"/>
        <w:ind w:left="900" w:hanging="900"/>
        <w:rPr>
          <w:rFonts w:ascii="宋体" w:hAnsi="宋体"/>
          <w:sz w:val="24"/>
        </w:rPr>
      </w:pPr>
      <w:r>
        <w:rPr>
          <w:rFonts w:hint="eastAsia" w:ascii="宋体" w:hAnsi="宋体"/>
          <w:sz w:val="24"/>
        </w:rPr>
        <w:t xml:space="preserve">11.8 </w:t>
      </w:r>
      <w:r>
        <w:rPr>
          <w:rFonts w:hint="eastAsia" w:ascii="宋体" w:hAnsi="宋体"/>
          <w:sz w:val="24"/>
        </w:rPr>
        <w:tab/>
      </w:r>
      <w:r>
        <w:rPr>
          <w:rFonts w:hint="eastAsia" w:ascii="宋体" w:hAnsi="宋体"/>
          <w:sz w:val="24"/>
        </w:rPr>
        <w:t>投标报价中，如投标内容超出招标文件要求，该超出部分内容在评标时将不予以核减。</w:t>
      </w:r>
    </w:p>
    <w:p>
      <w:pPr>
        <w:pStyle w:val="6"/>
        <w:spacing w:line="360" w:lineRule="auto"/>
        <w:ind w:left="899" w:hanging="899"/>
        <w:rPr>
          <w:rFonts w:hAnsi="宋体"/>
          <w:u w:val="none"/>
        </w:rPr>
      </w:pPr>
      <w:bookmarkStart w:id="104" w:name="_Toc520356156"/>
      <w:bookmarkStart w:id="105" w:name="_Ref467306513"/>
      <w:bookmarkStart w:id="106" w:name="_Toc13795"/>
      <w:bookmarkStart w:id="107" w:name="_Toc163893398"/>
      <w:bookmarkStart w:id="108" w:name="_Toc134857284"/>
      <w:r>
        <w:rPr>
          <w:rFonts w:hAnsi="宋体"/>
          <w:u w:val="none"/>
        </w:rPr>
        <w:t>1</w:t>
      </w:r>
      <w:r>
        <w:rPr>
          <w:rFonts w:hint="eastAsia" w:hAnsi="宋体"/>
          <w:u w:val="none"/>
        </w:rPr>
        <w:t>2.</w:t>
      </w:r>
      <w:r>
        <w:rPr>
          <w:rFonts w:hint="eastAsia" w:hAnsi="宋体"/>
          <w:u w:val="none"/>
        </w:rPr>
        <w:tab/>
      </w:r>
      <w:r>
        <w:rPr>
          <w:rFonts w:hint="eastAsia" w:hAnsi="宋体"/>
          <w:u w:val="none"/>
        </w:rPr>
        <w:t>投标保证金</w:t>
      </w:r>
      <w:bookmarkEnd w:id="104"/>
      <w:bookmarkEnd w:id="105"/>
      <w:bookmarkEnd w:id="106"/>
      <w:bookmarkEnd w:id="107"/>
      <w:bookmarkEnd w:id="108"/>
    </w:p>
    <w:p>
      <w:pPr>
        <w:spacing w:before="120" w:line="360" w:lineRule="auto"/>
        <w:ind w:left="898" w:hanging="898"/>
        <w:rPr>
          <w:rFonts w:ascii="宋体" w:hAnsi="宋体"/>
          <w:sz w:val="24"/>
        </w:rPr>
      </w:pPr>
      <w:bookmarkStart w:id="109" w:name="_Ref467306302"/>
      <w:r>
        <w:rPr>
          <w:rFonts w:ascii="宋体" w:hAnsi="宋体"/>
          <w:sz w:val="24"/>
        </w:rPr>
        <w:t>1</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投标人应按《投标人须知资料表》中规定的金额及要求交纳投标保证金，并作为其投标的一部分。</w:t>
      </w:r>
      <w:bookmarkEnd w:id="109"/>
      <w:r>
        <w:rPr>
          <w:rFonts w:hint="eastAsia" w:ascii="宋体" w:hAnsi="宋体"/>
          <w:color w:val="000000"/>
          <w:sz w:val="24"/>
        </w:rPr>
        <w:t>接受联合体投标的，可以由联合体中的一方或者共同提交投标保证金，</w:t>
      </w:r>
      <w:r>
        <w:rPr>
          <w:rFonts w:hint="eastAsia" w:ascii="宋体" w:hAnsi="宋体"/>
          <w:sz w:val="24"/>
        </w:rPr>
        <w:t>以一方名义提交投标保证金的，对联合体各方均具有约束力。</w:t>
      </w:r>
    </w:p>
    <w:p>
      <w:pPr>
        <w:spacing w:before="120" w:line="360" w:lineRule="auto"/>
        <w:ind w:left="898" w:hanging="898"/>
        <w:rPr>
          <w:rFonts w:ascii="宋体" w:hAnsi="宋体"/>
          <w:sz w:val="24"/>
        </w:rPr>
      </w:pPr>
      <w:bookmarkStart w:id="110" w:name="_Ref467306336"/>
      <w:r>
        <w:rPr>
          <w:rFonts w:hint="eastAsia" w:ascii="宋体" w:hAnsi="宋体"/>
          <w:sz w:val="24"/>
        </w:rPr>
        <w:t>12.2</w:t>
      </w:r>
      <w:r>
        <w:rPr>
          <w:rFonts w:hint="eastAsia" w:ascii="宋体" w:hAnsi="宋体"/>
          <w:sz w:val="24"/>
        </w:rPr>
        <w:tab/>
      </w:r>
      <w:r>
        <w:rPr>
          <w:rFonts w:hint="eastAsia" w:ascii="宋体" w:hAnsi="宋体"/>
          <w:sz w:val="24"/>
        </w:rPr>
        <w:t>投标保证金可采用下列形式之一：</w:t>
      </w:r>
      <w:bookmarkEnd w:id="110"/>
      <w:r>
        <w:rPr>
          <w:rFonts w:hint="eastAsia" w:ascii="宋体" w:hAnsi="宋体"/>
          <w:sz w:val="24"/>
        </w:rPr>
        <w:t>支票、汇票、本票、网上银行支付或者金融机构、担保机构出具的保函等非现金形式。</w:t>
      </w:r>
    </w:p>
    <w:p>
      <w:pPr>
        <w:spacing w:before="120" w:line="360" w:lineRule="auto"/>
        <w:ind w:left="898" w:hanging="898"/>
        <w:rPr>
          <w:rFonts w:ascii="宋体" w:hAnsi="宋体"/>
          <w:sz w:val="24"/>
        </w:rPr>
      </w:pPr>
      <w:r>
        <w:rPr>
          <w:rFonts w:hint="eastAsia" w:ascii="宋体" w:hAnsi="宋体"/>
          <w:sz w:val="24"/>
        </w:rPr>
        <w:t>12.3</w:t>
      </w:r>
      <w:r>
        <w:rPr>
          <w:rFonts w:hint="eastAsia" w:ascii="宋体" w:hAnsi="宋体"/>
          <w:sz w:val="24"/>
        </w:rPr>
        <w:tab/>
      </w:r>
      <w:r>
        <w:rPr>
          <w:rFonts w:hint="eastAsia" w:ascii="宋体" w:hAnsi="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b/>
          <w:bCs/>
          <w:sz w:val="24"/>
        </w:rPr>
        <w:t>投标无效</w:t>
      </w:r>
      <w:r>
        <w:rPr>
          <w:rFonts w:hint="eastAsia" w:ascii="宋体" w:hAnsi="宋体"/>
          <w:sz w:val="24"/>
        </w:rPr>
        <w:t>。投标人同时对多个采购包进行投标时，为便于区分，投标保证金建议分包提供；若合并提供，必须注明投标包号及投标保证金金额。若投标保证金总额不足且无法判定是哪一个或多个采购包，涉及的所有采购包将均被视为</w:t>
      </w:r>
      <w:r>
        <w:rPr>
          <w:rFonts w:hint="eastAsia" w:ascii="宋体" w:hAnsi="宋体"/>
          <w:b/>
          <w:bCs/>
          <w:sz w:val="24"/>
        </w:rPr>
        <w:t>无效投标</w:t>
      </w:r>
      <w:r>
        <w:rPr>
          <w:rFonts w:hint="eastAsia" w:ascii="宋体" w:hAnsi="宋体"/>
          <w:sz w:val="24"/>
        </w:rPr>
        <w:t>。</w:t>
      </w:r>
    </w:p>
    <w:p>
      <w:pPr>
        <w:spacing w:before="120" w:line="360" w:lineRule="auto"/>
        <w:ind w:left="900" w:hanging="900"/>
        <w:rPr>
          <w:rFonts w:ascii="宋体" w:hAnsi="宋体"/>
          <w:color w:val="FF0000"/>
          <w:sz w:val="24"/>
        </w:rPr>
      </w:pPr>
      <w:r>
        <w:rPr>
          <w:rFonts w:hint="eastAsia" w:ascii="宋体" w:hAnsi="宋体"/>
          <w:sz w:val="24"/>
        </w:rPr>
        <w:t>12.4   投标保证金（保函）有效期同投标有效期。</w:t>
      </w:r>
    </w:p>
    <w:p>
      <w:pPr>
        <w:spacing w:before="120" w:line="360" w:lineRule="auto"/>
        <w:ind w:left="900" w:hanging="900"/>
      </w:pPr>
      <w:r>
        <w:rPr>
          <w:rFonts w:hint="eastAsia" w:ascii="宋体" w:hAnsi="宋体"/>
          <w:sz w:val="24"/>
        </w:rPr>
        <w:t>12.5</w:t>
      </w:r>
      <w:r>
        <w:rPr>
          <w:rFonts w:hint="eastAsia" w:ascii="宋体" w:hAnsi="宋体"/>
          <w:sz w:val="24"/>
        </w:rPr>
        <w:tab/>
      </w:r>
      <w:r>
        <w:rPr>
          <w:rFonts w:hint="eastAsia" w:ascii="宋体" w:hAnsi="宋体"/>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中标人的投标保证金，自采购合同签订之日起5个工作日内退还中标人；未中标投标人的投标保证金，自中标通知书发出之日起5个工作日内退还未中标人。</w:t>
      </w:r>
    </w:p>
    <w:p>
      <w:pPr>
        <w:spacing w:before="120" w:line="360" w:lineRule="auto"/>
        <w:ind w:left="898" w:hanging="898"/>
        <w:rPr>
          <w:rFonts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6</w:t>
      </w:r>
      <w:r>
        <w:rPr>
          <w:rFonts w:ascii="宋体" w:hAnsi="宋体"/>
          <w:sz w:val="24"/>
        </w:rPr>
        <w:tab/>
      </w:r>
      <w:r>
        <w:rPr>
          <w:rFonts w:hint="eastAsia" w:ascii="宋体" w:hAnsi="宋体"/>
          <w:sz w:val="24"/>
        </w:rPr>
        <w:t>有下列情形之一的，采购人或采购代理机构可以不予退还投标保证金：</w:t>
      </w:r>
    </w:p>
    <w:p>
      <w:pPr>
        <w:spacing w:before="120" w:line="360" w:lineRule="auto"/>
        <w:ind w:left="360" w:firstLine="540"/>
        <w:rPr>
          <w:rFonts w:ascii="宋体" w:hAnsi="宋体"/>
          <w:sz w:val="24"/>
        </w:rPr>
      </w:pPr>
      <w:r>
        <w:rPr>
          <w:rFonts w:hint="eastAsia" w:ascii="宋体" w:hAnsi="宋体"/>
          <w:sz w:val="24"/>
        </w:rPr>
        <w:t>下列任何情况发生，投标保证金将不予退还：</w:t>
      </w:r>
    </w:p>
    <w:p>
      <w:pPr>
        <w:pStyle w:val="17"/>
        <w:tabs>
          <w:tab w:val="left" w:pos="2240"/>
        </w:tabs>
        <w:spacing w:line="360" w:lineRule="auto"/>
        <w:ind w:firstLine="840" w:firstLineChars="350"/>
        <w:rPr>
          <w:rFonts w:hAnsi="宋体"/>
          <w:sz w:val="24"/>
        </w:rPr>
      </w:pPr>
      <w:r>
        <w:rPr>
          <w:rFonts w:hint="eastAsia" w:hAnsi="宋体"/>
          <w:sz w:val="24"/>
        </w:rPr>
        <w:t>（1）投标人</w:t>
      </w:r>
      <w:r>
        <w:rPr>
          <w:rFonts w:hint="eastAsia" w:hAnsi="宋体"/>
          <w:sz w:val="24"/>
          <w:szCs w:val="24"/>
        </w:rPr>
        <w:t>在投标有效期内撤销投标文件的；</w:t>
      </w:r>
    </w:p>
    <w:p>
      <w:pPr>
        <w:pStyle w:val="17"/>
        <w:tabs>
          <w:tab w:val="left" w:pos="2240"/>
        </w:tabs>
        <w:spacing w:line="360" w:lineRule="auto"/>
        <w:ind w:firstLine="840" w:firstLineChars="350"/>
        <w:rPr>
          <w:rFonts w:hAnsi="宋体"/>
          <w:sz w:val="24"/>
        </w:rPr>
      </w:pPr>
      <w:r>
        <w:rPr>
          <w:rFonts w:hint="eastAsia" w:hAnsi="宋体"/>
          <w:sz w:val="24"/>
        </w:rPr>
        <w:t>（2）投标人在投标文件中提供任何虚假材料的；</w:t>
      </w:r>
    </w:p>
    <w:p>
      <w:pPr>
        <w:pStyle w:val="17"/>
        <w:tabs>
          <w:tab w:val="left" w:pos="2240"/>
        </w:tabs>
        <w:spacing w:line="360" w:lineRule="auto"/>
        <w:ind w:left="1438" w:leftChars="399" w:hanging="600" w:hangingChars="250"/>
        <w:rPr>
          <w:rFonts w:hAnsi="宋体"/>
          <w:sz w:val="24"/>
        </w:rPr>
      </w:pPr>
      <w:r>
        <w:rPr>
          <w:rFonts w:hint="eastAsia" w:hAnsi="宋体"/>
          <w:sz w:val="24"/>
        </w:rPr>
        <w:t>（3）除因不可抗力或招标文件认可的情形以外，中标人放弃中标或者不按本须知的规定与采购人签订合同的；</w:t>
      </w:r>
    </w:p>
    <w:p>
      <w:pPr>
        <w:pStyle w:val="17"/>
        <w:tabs>
          <w:tab w:val="left" w:pos="2240"/>
        </w:tabs>
        <w:spacing w:line="360" w:lineRule="auto"/>
        <w:ind w:left="1438" w:leftChars="399" w:hanging="600" w:hangingChars="250"/>
        <w:rPr>
          <w:rFonts w:hAnsi="宋体"/>
          <w:sz w:val="24"/>
        </w:rPr>
      </w:pPr>
      <w:r>
        <w:rPr>
          <w:rFonts w:hint="eastAsia" w:hAnsi="宋体"/>
          <w:sz w:val="24"/>
        </w:rPr>
        <w:t>（4）投标人与采购人或其他投标人恶意串通的；</w:t>
      </w:r>
    </w:p>
    <w:p>
      <w:pPr>
        <w:pStyle w:val="17"/>
        <w:tabs>
          <w:tab w:val="left" w:pos="2240"/>
        </w:tabs>
        <w:spacing w:line="360" w:lineRule="auto"/>
        <w:ind w:left="1438" w:leftChars="399" w:hanging="600" w:hangingChars="250"/>
        <w:rPr>
          <w:rFonts w:hAnsi="宋体"/>
          <w:sz w:val="24"/>
        </w:rPr>
      </w:pPr>
      <w:r>
        <w:rPr>
          <w:rFonts w:hint="eastAsia" w:hAnsi="宋体"/>
          <w:sz w:val="24"/>
        </w:rPr>
        <w:t>（5）未按招标文件要求足额缴纳代理费的；</w:t>
      </w:r>
    </w:p>
    <w:p>
      <w:pPr>
        <w:pStyle w:val="17"/>
        <w:tabs>
          <w:tab w:val="left" w:pos="2240"/>
        </w:tabs>
        <w:spacing w:line="360" w:lineRule="auto"/>
        <w:ind w:left="1438" w:leftChars="399" w:hanging="600" w:hangingChars="250"/>
        <w:rPr>
          <w:rFonts w:hAnsi="宋体"/>
          <w:sz w:val="24"/>
        </w:rPr>
      </w:pPr>
      <w:r>
        <w:rPr>
          <w:rFonts w:hint="eastAsia" w:hAnsi="宋体"/>
          <w:sz w:val="24"/>
        </w:rPr>
        <w:t>（6）招标文件规定的其他情形。</w:t>
      </w:r>
    </w:p>
    <w:p>
      <w:pPr>
        <w:pStyle w:val="6"/>
        <w:spacing w:line="360" w:lineRule="auto"/>
        <w:ind w:left="899" w:hanging="899"/>
        <w:rPr>
          <w:rFonts w:hAnsi="宋体"/>
          <w:u w:val="none"/>
        </w:rPr>
      </w:pPr>
      <w:bookmarkStart w:id="111" w:name="_Toc520356157"/>
      <w:bookmarkStart w:id="112" w:name="_Toc10565"/>
      <w:bookmarkStart w:id="113" w:name="_Toc163893399"/>
      <w:bookmarkStart w:id="114" w:name="_Toc134857285"/>
      <w:r>
        <w:rPr>
          <w:rFonts w:hint="eastAsia" w:hAnsi="宋体"/>
          <w:u w:val="none"/>
        </w:rPr>
        <w:t>13.</w:t>
      </w:r>
      <w:r>
        <w:rPr>
          <w:rFonts w:hint="eastAsia" w:hAnsi="宋体"/>
          <w:u w:val="none"/>
        </w:rPr>
        <w:tab/>
      </w:r>
      <w:r>
        <w:rPr>
          <w:rFonts w:hint="eastAsia" w:hAnsi="宋体"/>
          <w:u w:val="none"/>
        </w:rPr>
        <w:t>投标有效期</w:t>
      </w:r>
      <w:bookmarkEnd w:id="111"/>
      <w:bookmarkEnd w:id="112"/>
      <w:bookmarkEnd w:id="113"/>
      <w:bookmarkEnd w:id="114"/>
    </w:p>
    <w:p>
      <w:pPr>
        <w:spacing w:before="120" w:line="360" w:lineRule="auto"/>
        <w:ind w:left="900" w:hanging="900"/>
        <w:rPr>
          <w:rFonts w:ascii="宋体" w:hAnsi="宋体"/>
          <w:sz w:val="24"/>
        </w:rPr>
      </w:pPr>
      <w:r>
        <w:rPr>
          <w:rFonts w:hint="eastAsia" w:ascii="宋体" w:hAnsi="宋体"/>
          <w:sz w:val="24"/>
        </w:rPr>
        <w:t>13.1</w:t>
      </w:r>
      <w:r>
        <w:rPr>
          <w:rFonts w:hint="eastAsia" w:ascii="宋体" w:hAnsi="宋体"/>
          <w:sz w:val="24"/>
        </w:rPr>
        <w:tab/>
      </w:r>
      <w:r>
        <w:rPr>
          <w:rFonts w:hint="eastAsia" w:ascii="宋体" w:hAnsi="宋体"/>
          <w:sz w:val="24"/>
        </w:rPr>
        <w:t>投标文件应在本招标文件《投标人须知资料表》中规定的投标有效期内保持有效，投标有效期少于招标文件规定期限的，其</w:t>
      </w:r>
      <w:r>
        <w:rPr>
          <w:rFonts w:hint="eastAsia" w:ascii="宋体" w:hAnsi="宋体"/>
          <w:b/>
          <w:bCs/>
          <w:sz w:val="24"/>
        </w:rPr>
        <w:t>投标无效</w:t>
      </w:r>
      <w:r>
        <w:rPr>
          <w:rFonts w:hint="eastAsia" w:ascii="宋体" w:hAnsi="宋体"/>
          <w:sz w:val="24"/>
        </w:rPr>
        <w:t>。</w:t>
      </w:r>
    </w:p>
    <w:p>
      <w:pPr>
        <w:spacing w:before="120" w:line="360" w:lineRule="auto"/>
        <w:ind w:left="900" w:hanging="900"/>
        <w:rPr>
          <w:rFonts w:ascii="宋体" w:hAnsi="宋体"/>
          <w:sz w:val="24"/>
        </w:rPr>
      </w:pPr>
      <w:r>
        <w:rPr>
          <w:rFonts w:hint="eastAsia" w:ascii="宋体" w:hAnsi="宋体"/>
          <w:sz w:val="24"/>
        </w:rPr>
        <w:t>13.2</w:t>
      </w:r>
      <w:r>
        <w:rPr>
          <w:rFonts w:hint="eastAsia" w:ascii="宋体" w:hAnsi="宋体"/>
          <w:sz w:val="24"/>
        </w:rPr>
        <w:tab/>
      </w:r>
      <w:r>
        <w:rPr>
          <w:rFonts w:hint="eastAsia" w:ascii="宋体" w:hAnsi="宋体"/>
          <w:sz w:val="24"/>
        </w:rPr>
        <w:t>采购人或采购代理机构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pPr>
        <w:pStyle w:val="6"/>
        <w:spacing w:line="360" w:lineRule="auto"/>
        <w:ind w:left="899" w:hanging="899"/>
        <w:rPr>
          <w:rFonts w:hAnsi="宋体"/>
          <w:u w:val="none"/>
        </w:rPr>
      </w:pPr>
      <w:bookmarkStart w:id="115" w:name="_Toc520356158"/>
      <w:bookmarkStart w:id="116" w:name="_Toc163893400"/>
      <w:bookmarkStart w:id="117" w:name="_Toc29891"/>
      <w:bookmarkStart w:id="118" w:name="_Toc134857286"/>
      <w:r>
        <w:rPr>
          <w:rFonts w:hint="eastAsia" w:hAnsi="宋体"/>
          <w:u w:val="none"/>
        </w:rPr>
        <w:t>14.</w:t>
      </w:r>
      <w:r>
        <w:rPr>
          <w:rFonts w:hint="eastAsia" w:hAnsi="宋体"/>
          <w:u w:val="none"/>
        </w:rPr>
        <w:tab/>
      </w:r>
      <w:r>
        <w:rPr>
          <w:rFonts w:hint="eastAsia" w:hAnsi="宋体"/>
          <w:u w:val="none"/>
        </w:rPr>
        <w:t>投标文件的签署</w:t>
      </w:r>
      <w:bookmarkEnd w:id="115"/>
      <w:r>
        <w:rPr>
          <w:rFonts w:hint="eastAsia" w:hAnsi="宋体"/>
          <w:u w:val="none"/>
        </w:rPr>
        <w:t>及规定</w:t>
      </w:r>
      <w:bookmarkEnd w:id="116"/>
      <w:bookmarkEnd w:id="117"/>
      <w:bookmarkEnd w:id="118"/>
    </w:p>
    <w:p>
      <w:pPr>
        <w:spacing w:before="120" w:line="360" w:lineRule="auto"/>
        <w:ind w:left="900" w:hanging="900"/>
        <w:rPr>
          <w:rFonts w:ascii="宋体" w:hAnsi="宋体"/>
          <w:sz w:val="24"/>
        </w:rPr>
      </w:pPr>
      <w:r>
        <w:rPr>
          <w:rFonts w:hint="eastAsia" w:ascii="宋体" w:hAnsi="宋体"/>
          <w:sz w:val="24"/>
        </w:rPr>
        <w:t>14.1</w:t>
      </w:r>
      <w:r>
        <w:rPr>
          <w:rFonts w:hint="eastAsia" w:ascii="宋体" w:hAnsi="宋体"/>
          <w:sz w:val="24"/>
        </w:rPr>
        <w:tab/>
      </w:r>
      <w:r>
        <w:rPr>
          <w:rFonts w:hint="eastAsia" w:ascii="宋体" w:hAnsi="宋体"/>
          <w:sz w:val="24"/>
        </w:rPr>
        <w:t>投标人应按招标文件《投标须知资料表》的规定准备投标文件正本和副本以及电子版，每份投标文件须清楚地标明“正本”或“副本”。副本可采用正本的复印件。若正本和副本不符，以正本为准；电子版投标文件和纸质版投标文件不符，以纸质版投标文件为准。</w:t>
      </w:r>
    </w:p>
    <w:p>
      <w:pPr>
        <w:spacing w:before="120" w:line="360" w:lineRule="auto"/>
        <w:ind w:left="900" w:hanging="900"/>
        <w:rPr>
          <w:rFonts w:ascii="宋体" w:hAnsi="宋体"/>
          <w:sz w:val="24"/>
          <w:highlight w:val="yellow"/>
        </w:rPr>
      </w:pPr>
      <w:r>
        <w:rPr>
          <w:rFonts w:hint="eastAsia" w:ascii="宋体" w:hAnsi="宋体"/>
          <w:sz w:val="24"/>
        </w:rPr>
        <w:t>14.2</w:t>
      </w:r>
      <w:r>
        <w:rPr>
          <w:rFonts w:hint="eastAsia" w:ascii="宋体" w:hAnsi="宋体"/>
          <w:sz w:val="24"/>
        </w:rPr>
        <w:tab/>
      </w:r>
      <w:r>
        <w:rPr>
          <w:rFonts w:hint="eastAsia" w:ascii="宋体" w:hAnsi="宋体"/>
          <w:sz w:val="24"/>
        </w:rPr>
        <w:t>投标文件需打印或用不退色墨水书写，并由投标人的法定代表人或经其正式授权的代表在投标文件上规定的地方签字并加盖单位公章(</w:t>
      </w:r>
      <w:r>
        <w:rPr>
          <w:rFonts w:hint="eastAsia" w:ascii="宋体" w:hAnsi="宋体"/>
          <w:b/>
          <w:bCs/>
          <w:sz w:val="24"/>
        </w:rPr>
        <w:t>标书中所要求盖章处均为单位公章，其他印章如投标专用章、业务专用章、合同专用章等均无效</w:t>
      </w:r>
      <w:r>
        <w:rPr>
          <w:rFonts w:hint="eastAsia" w:ascii="宋体" w:hAnsi="宋体"/>
          <w:sz w:val="24"/>
        </w:rPr>
        <w:t>)。授权代表须取得书面的“授权委托书”（标准格式附后），并将其附在投标文件中。</w:t>
      </w:r>
    </w:p>
    <w:p>
      <w:pPr>
        <w:spacing w:before="120" w:line="360" w:lineRule="auto"/>
        <w:ind w:left="900" w:hanging="900"/>
        <w:rPr>
          <w:rFonts w:ascii="宋体" w:hAnsi="宋体"/>
          <w:sz w:val="24"/>
        </w:rPr>
      </w:pPr>
      <w:r>
        <w:rPr>
          <w:rFonts w:hint="eastAsia" w:ascii="宋体" w:hAnsi="宋体"/>
          <w:sz w:val="24"/>
        </w:rPr>
        <w:t>14.3</w:t>
      </w:r>
      <w:r>
        <w:rPr>
          <w:rFonts w:hint="eastAsia" w:ascii="宋体" w:hAnsi="宋体"/>
          <w:sz w:val="24"/>
        </w:rPr>
        <w:tab/>
      </w:r>
      <w:r>
        <w:rPr>
          <w:rFonts w:hint="eastAsia" w:ascii="宋体" w:hAnsi="宋体"/>
          <w:sz w:val="24"/>
        </w:rPr>
        <w:t>任何行间插字、涂改和增删，必须由投标文件签字人在修改处签字并加盖公章。</w:t>
      </w:r>
    </w:p>
    <w:p>
      <w:pPr>
        <w:spacing w:before="120" w:line="360" w:lineRule="auto"/>
        <w:rPr>
          <w:rFonts w:ascii="宋体" w:hAnsi="宋体"/>
          <w:sz w:val="24"/>
        </w:rPr>
      </w:pPr>
      <w:r>
        <w:rPr>
          <w:rFonts w:hint="eastAsia" w:ascii="宋体" w:hAnsi="宋体"/>
          <w:sz w:val="24"/>
        </w:rPr>
        <w:t>14.4</w:t>
      </w:r>
      <w:r>
        <w:rPr>
          <w:rFonts w:hint="eastAsia" w:ascii="宋体" w:hAnsi="宋体"/>
          <w:sz w:val="24"/>
        </w:rPr>
        <w:tab/>
      </w:r>
      <w:r>
        <w:rPr>
          <w:rFonts w:hint="eastAsia" w:ascii="宋体" w:hAnsi="宋体"/>
          <w:sz w:val="24"/>
        </w:rPr>
        <w:t>投标文件因字迹潦草或表达不清所引起的后果由投标人负责。</w:t>
      </w:r>
    </w:p>
    <w:p>
      <w:pPr>
        <w:spacing w:before="120" w:line="360" w:lineRule="auto"/>
        <w:rPr>
          <w:rFonts w:ascii="宋体" w:hAnsi="宋体"/>
          <w:sz w:val="24"/>
        </w:rPr>
      </w:pPr>
      <w:r>
        <w:rPr>
          <w:rFonts w:hint="eastAsia" w:ascii="宋体" w:hAnsi="宋体"/>
          <w:sz w:val="24"/>
        </w:rPr>
        <w:t>14.5   投标人为自然人的，只须按要求签字，投标文件所有加盖公章的要求均不适用。</w:t>
      </w:r>
    </w:p>
    <w:p>
      <w:pPr>
        <w:spacing w:before="120" w:line="360" w:lineRule="auto"/>
        <w:ind w:left="900" w:hanging="900"/>
        <w:rPr>
          <w:rFonts w:ascii="宋体" w:hAnsi="宋体"/>
          <w:sz w:val="24"/>
        </w:rPr>
      </w:pPr>
      <w:r>
        <w:rPr>
          <w:rFonts w:hint="eastAsia" w:ascii="宋体" w:hAnsi="宋体"/>
          <w:sz w:val="24"/>
        </w:rPr>
        <w:t>14.6   投标文件应装订牢固、目录清楚、页码准确，建议双面打印。采购人、采购代理机构对因装订不牢造成的文件散失不负责任。</w:t>
      </w:r>
    </w:p>
    <w:p>
      <w:pPr>
        <w:pStyle w:val="5"/>
        <w:spacing w:line="360" w:lineRule="auto"/>
        <w:rPr>
          <w:rFonts w:ascii="宋体" w:hAnsi="宋体" w:eastAsia="宋体"/>
          <w:sz w:val="24"/>
        </w:rPr>
      </w:pPr>
      <w:bookmarkStart w:id="119" w:name="_Toc589"/>
      <w:bookmarkStart w:id="120" w:name="_Toc520356159"/>
      <w:r>
        <w:rPr>
          <w:rFonts w:hint="eastAsia" w:ascii="宋体" w:hAnsi="宋体" w:eastAsia="宋体"/>
          <w:sz w:val="24"/>
        </w:rPr>
        <w:t>四   投标文件的递交</w:t>
      </w:r>
      <w:bookmarkEnd w:id="119"/>
      <w:bookmarkEnd w:id="120"/>
    </w:p>
    <w:p>
      <w:pPr>
        <w:pStyle w:val="6"/>
        <w:spacing w:line="360" w:lineRule="auto"/>
        <w:ind w:left="899" w:hanging="899"/>
        <w:rPr>
          <w:rFonts w:hAnsi="宋体"/>
          <w:u w:val="none"/>
        </w:rPr>
      </w:pPr>
      <w:bookmarkStart w:id="121" w:name="_Toc9933"/>
      <w:bookmarkStart w:id="122" w:name="_Toc163893402"/>
      <w:bookmarkStart w:id="123" w:name="_Toc520356160"/>
      <w:bookmarkStart w:id="124" w:name="_Toc134857288"/>
      <w:r>
        <w:rPr>
          <w:rFonts w:hint="eastAsia" w:hAnsi="宋体"/>
          <w:u w:val="none"/>
        </w:rPr>
        <w:t>15.</w:t>
      </w:r>
      <w:r>
        <w:rPr>
          <w:rFonts w:hint="eastAsia" w:hAnsi="宋体"/>
          <w:u w:val="none"/>
        </w:rPr>
        <w:tab/>
      </w:r>
      <w:r>
        <w:rPr>
          <w:rFonts w:hint="eastAsia" w:hAnsi="宋体"/>
          <w:u w:val="none"/>
        </w:rPr>
        <w:t>投标文件的密封和标记</w:t>
      </w:r>
      <w:bookmarkEnd w:id="121"/>
      <w:bookmarkEnd w:id="122"/>
      <w:bookmarkEnd w:id="123"/>
      <w:bookmarkEnd w:id="124"/>
    </w:p>
    <w:p>
      <w:pPr>
        <w:spacing w:before="120" w:line="360" w:lineRule="auto"/>
        <w:ind w:left="900" w:hanging="900"/>
        <w:rPr>
          <w:rFonts w:ascii="宋体" w:hAnsi="宋体"/>
          <w:sz w:val="24"/>
        </w:rPr>
      </w:pPr>
      <w:r>
        <w:rPr>
          <w:rFonts w:hint="eastAsia" w:ascii="宋体" w:hAnsi="宋体"/>
          <w:sz w:val="24"/>
        </w:rPr>
        <w:t>15.1   投标时，投标人应按包将投标文件正本和所有的副本、电子版分开密封装在单独的包装中，且在包装正面标明“正本”、“副本”、“电子版”字样。</w:t>
      </w:r>
    </w:p>
    <w:p>
      <w:pPr>
        <w:spacing w:before="120" w:line="360" w:lineRule="auto"/>
        <w:ind w:left="900" w:hanging="900"/>
        <w:rPr>
          <w:rFonts w:ascii="宋体" w:hAnsi="宋体"/>
          <w:sz w:val="24"/>
        </w:rPr>
      </w:pPr>
      <w:r>
        <w:rPr>
          <w:rFonts w:hint="eastAsia" w:ascii="宋体" w:hAnsi="宋体"/>
          <w:sz w:val="24"/>
        </w:rPr>
        <w:t>15.2   为方便开标唱标，投标人应将 “开标一览表”单独密封，并在包装上标明“开标一览表”字样，在投标时单独递交。</w:t>
      </w:r>
    </w:p>
    <w:p>
      <w:pPr>
        <w:spacing w:before="120" w:line="360" w:lineRule="auto"/>
        <w:ind w:left="900" w:hanging="900"/>
        <w:rPr>
          <w:rFonts w:ascii="宋体" w:hAnsi="宋体"/>
          <w:sz w:val="24"/>
        </w:rPr>
      </w:pPr>
      <w:r>
        <w:rPr>
          <w:rFonts w:hint="eastAsia" w:ascii="宋体" w:hAnsi="宋体"/>
          <w:sz w:val="24"/>
        </w:rPr>
        <w:t>15.3   为方便核查投标保证金，投标人应将“投标保证金”单独密封，并在包装上标明 “投标保证金”字样，在投标时单独递交（若投标保证金采用电汇/网银方式，提供电汇底单/转账网页复印件，并加盖投标人公章；若采用保函、支票等形式，须提供保函/支票的原件）。</w:t>
      </w:r>
    </w:p>
    <w:p>
      <w:pPr>
        <w:tabs>
          <w:tab w:val="left" w:pos="900"/>
        </w:tabs>
        <w:spacing w:before="120" w:line="360" w:lineRule="auto"/>
        <w:rPr>
          <w:rFonts w:ascii="宋体" w:hAnsi="宋体"/>
          <w:sz w:val="24"/>
        </w:rPr>
      </w:pPr>
      <w:r>
        <w:rPr>
          <w:rFonts w:hint="eastAsia" w:ascii="宋体" w:hAnsi="宋体"/>
          <w:sz w:val="24"/>
        </w:rPr>
        <w:t>15.4  所有包装上均应注明如下内容：</w:t>
      </w:r>
    </w:p>
    <w:p>
      <w:pPr>
        <w:pStyle w:val="17"/>
        <w:tabs>
          <w:tab w:val="left" w:pos="630"/>
          <w:tab w:val="left" w:pos="1365"/>
        </w:tabs>
        <w:spacing w:line="360" w:lineRule="auto"/>
        <w:ind w:left="660" w:firstLine="240"/>
        <w:rPr>
          <w:rFonts w:hAnsi="宋体"/>
          <w:sz w:val="24"/>
        </w:rPr>
      </w:pPr>
      <w:r>
        <w:rPr>
          <w:rFonts w:hint="eastAsia" w:hAnsi="宋体"/>
          <w:sz w:val="24"/>
        </w:rPr>
        <w:t>1）清楚标明递交至规定的投标地址。</w:t>
      </w:r>
    </w:p>
    <w:p>
      <w:pPr>
        <w:pStyle w:val="17"/>
        <w:tabs>
          <w:tab w:val="left" w:pos="1365"/>
        </w:tabs>
        <w:spacing w:line="360" w:lineRule="auto"/>
        <w:ind w:left="1259" w:hanging="360"/>
        <w:rPr>
          <w:rFonts w:hAnsi="宋体"/>
          <w:sz w:val="24"/>
        </w:rPr>
      </w:pPr>
      <w:r>
        <w:rPr>
          <w:rFonts w:hint="eastAsia" w:hAnsi="宋体"/>
          <w:sz w:val="24"/>
        </w:rPr>
        <w:t>2）注明项目名称、项目编号、包号及对应名称和“在</w:t>
      </w:r>
      <w:r>
        <w:rPr>
          <w:rFonts w:hint="eastAsia" w:hAnsi="宋体"/>
          <w:sz w:val="24"/>
          <w:u w:val="single"/>
        </w:rPr>
        <w:t xml:space="preserve">     （开标日期、时间 ）    </w:t>
      </w:r>
      <w:r>
        <w:rPr>
          <w:rFonts w:hint="eastAsia" w:hAnsi="宋体"/>
          <w:sz w:val="24"/>
        </w:rPr>
        <w:t>之前不得启封”的字样。</w:t>
      </w:r>
    </w:p>
    <w:p>
      <w:pPr>
        <w:pStyle w:val="17"/>
        <w:tabs>
          <w:tab w:val="left" w:pos="1365"/>
        </w:tabs>
        <w:spacing w:line="360" w:lineRule="auto"/>
        <w:ind w:left="1259" w:hanging="360"/>
      </w:pPr>
      <w:r>
        <w:rPr>
          <w:rFonts w:hint="eastAsia" w:hAnsi="宋体"/>
          <w:sz w:val="24"/>
        </w:rPr>
        <w:t>3）注明投标单位名称和地址。</w:t>
      </w:r>
    </w:p>
    <w:p>
      <w:pPr>
        <w:pStyle w:val="17"/>
        <w:tabs>
          <w:tab w:val="left" w:pos="1365"/>
        </w:tabs>
        <w:spacing w:line="360" w:lineRule="auto"/>
        <w:ind w:left="1259" w:hanging="360"/>
        <w:rPr>
          <w:rFonts w:hAnsi="宋体"/>
          <w:sz w:val="24"/>
        </w:rPr>
      </w:pPr>
      <w:r>
        <w:rPr>
          <w:rFonts w:hint="eastAsia" w:hAnsi="宋体"/>
          <w:sz w:val="24"/>
        </w:rPr>
        <w:t>4）密封包装封面上须加盖投标人公章或授权代表签字。</w:t>
      </w:r>
    </w:p>
    <w:p>
      <w:pPr>
        <w:spacing w:before="120" w:line="360" w:lineRule="auto"/>
        <w:ind w:left="900" w:hanging="900"/>
        <w:rPr>
          <w:rFonts w:ascii="宋体" w:hAnsi="宋体"/>
          <w:sz w:val="24"/>
        </w:rPr>
      </w:pPr>
      <w:r>
        <w:rPr>
          <w:rFonts w:hint="eastAsia" w:ascii="宋体" w:hAnsi="宋体"/>
          <w:sz w:val="24"/>
        </w:rPr>
        <w:t>15.5</w:t>
      </w:r>
      <w:r>
        <w:rPr>
          <w:rFonts w:hint="eastAsia" w:ascii="宋体" w:hAnsi="宋体"/>
          <w:sz w:val="24"/>
        </w:rPr>
        <w:tab/>
      </w:r>
      <w:r>
        <w:rPr>
          <w:rFonts w:hint="eastAsia" w:ascii="宋体" w:hAnsi="宋体"/>
          <w:sz w:val="24"/>
        </w:rPr>
        <w:t>如果投标人未按上述要求密封及加写标记，采购人或采购代理机构对投标文件的误投或过早启封概不负责。</w:t>
      </w:r>
    </w:p>
    <w:p>
      <w:pPr>
        <w:pStyle w:val="6"/>
        <w:spacing w:line="360" w:lineRule="auto"/>
        <w:ind w:left="899" w:hanging="899"/>
        <w:rPr>
          <w:rFonts w:hAnsi="宋体"/>
          <w:u w:val="none"/>
        </w:rPr>
      </w:pPr>
      <w:bookmarkStart w:id="125" w:name="_Toc134857289"/>
      <w:bookmarkStart w:id="126" w:name="_Toc520356161"/>
      <w:bookmarkStart w:id="127" w:name="_Toc163893403"/>
      <w:bookmarkStart w:id="128" w:name="_Toc14945"/>
      <w:r>
        <w:rPr>
          <w:rFonts w:hint="eastAsia" w:hAnsi="宋体"/>
          <w:u w:val="none"/>
        </w:rPr>
        <w:t>16.</w:t>
      </w:r>
      <w:r>
        <w:rPr>
          <w:rFonts w:hint="eastAsia" w:hAnsi="宋体"/>
          <w:u w:val="none"/>
        </w:rPr>
        <w:tab/>
      </w:r>
      <w:r>
        <w:rPr>
          <w:rFonts w:hint="eastAsia" w:hAnsi="宋体"/>
          <w:u w:val="none"/>
        </w:rPr>
        <w:t>投标截止</w:t>
      </w:r>
      <w:bookmarkEnd w:id="125"/>
      <w:bookmarkEnd w:id="126"/>
      <w:bookmarkEnd w:id="127"/>
      <w:r>
        <w:rPr>
          <w:rFonts w:hint="eastAsia" w:hAnsi="宋体"/>
          <w:u w:val="none"/>
        </w:rPr>
        <w:t>时间</w:t>
      </w:r>
      <w:bookmarkEnd w:id="128"/>
    </w:p>
    <w:p>
      <w:pPr>
        <w:spacing w:before="120" w:line="360" w:lineRule="auto"/>
        <w:ind w:left="900" w:hanging="900"/>
        <w:rPr>
          <w:rFonts w:ascii="宋体" w:hAnsi="宋体"/>
          <w:sz w:val="24"/>
        </w:rPr>
      </w:pPr>
      <w:r>
        <w:rPr>
          <w:rFonts w:hint="eastAsia" w:ascii="宋体" w:hAnsi="宋体"/>
          <w:sz w:val="24"/>
        </w:rPr>
        <w:t>16.1</w:t>
      </w:r>
      <w:r>
        <w:rPr>
          <w:rFonts w:hint="eastAsia" w:ascii="宋体" w:hAnsi="宋体"/>
          <w:sz w:val="24"/>
        </w:rPr>
        <w:tab/>
      </w:r>
      <w:r>
        <w:rPr>
          <w:rFonts w:hint="eastAsia" w:ascii="宋体" w:hAnsi="宋体"/>
          <w:sz w:val="24"/>
        </w:rPr>
        <w:t>投标人应在规定的投标截止日期和时间前，将投标文件密封送达至规定的地址。采购人或采购代理机构</w:t>
      </w:r>
      <w:r>
        <w:rPr>
          <w:rFonts w:hint="eastAsia" w:ascii="宋体" w:hAnsi="宋体" w:cs="Arial"/>
          <w:sz w:val="24"/>
        </w:rPr>
        <w:t>收到投标文件后，应当如实记载投标文件的送达时间和密封情况，签收保存，并向投标人出具签收回执。任何单位和个人不得在开标前开启投标文件。逾期送达、未密封或密封不完好的投标文件，</w:t>
      </w:r>
      <w:r>
        <w:rPr>
          <w:rFonts w:hint="eastAsia" w:ascii="宋体" w:hAnsi="宋体"/>
          <w:sz w:val="24"/>
        </w:rPr>
        <w:t>采购人或采购代理机构</w:t>
      </w:r>
      <w:r>
        <w:rPr>
          <w:rFonts w:hint="eastAsia" w:ascii="宋体" w:hAnsi="宋体" w:cs="Arial"/>
          <w:sz w:val="24"/>
        </w:rPr>
        <w:t>应当拒收。</w:t>
      </w:r>
    </w:p>
    <w:p>
      <w:pPr>
        <w:spacing w:before="120" w:line="360" w:lineRule="auto"/>
        <w:ind w:left="900" w:hanging="900"/>
        <w:rPr>
          <w:rFonts w:ascii="宋体" w:hAnsi="宋体"/>
          <w:sz w:val="24"/>
        </w:rPr>
      </w:pPr>
      <w:r>
        <w:rPr>
          <w:rFonts w:hint="eastAsia" w:ascii="宋体" w:hAnsi="宋体"/>
          <w:sz w:val="24"/>
        </w:rPr>
        <w:t>16.2</w:t>
      </w:r>
      <w:r>
        <w:rPr>
          <w:rFonts w:hint="eastAsia" w:ascii="宋体" w:hAnsi="宋体"/>
          <w:sz w:val="24"/>
        </w:rPr>
        <w:tab/>
      </w:r>
      <w:r>
        <w:rPr>
          <w:rFonts w:hint="eastAsia" w:ascii="宋体" w:hAnsi="宋体"/>
          <w:sz w:val="24"/>
        </w:rPr>
        <w:t>采购人或采购代理机构有权按本须知的规定，通过修改招标文件延长投标截止期。在此情况下，采购人或采购代理机构和投标人受投标截止期制约的所有权利和义务均应延长至新的截止期。</w:t>
      </w:r>
    </w:p>
    <w:p>
      <w:pPr>
        <w:pStyle w:val="6"/>
        <w:spacing w:line="360" w:lineRule="auto"/>
        <w:ind w:left="899" w:hanging="899"/>
        <w:rPr>
          <w:rFonts w:hAnsi="宋体"/>
          <w:u w:val="none"/>
        </w:rPr>
      </w:pPr>
      <w:bookmarkStart w:id="129" w:name="_Toc163893404"/>
      <w:bookmarkStart w:id="130" w:name="_Toc520356162"/>
      <w:bookmarkStart w:id="131" w:name="_Toc134857290"/>
      <w:bookmarkStart w:id="132" w:name="_Toc800"/>
      <w:r>
        <w:rPr>
          <w:rFonts w:hint="eastAsia" w:hAnsi="宋体"/>
          <w:u w:val="none"/>
        </w:rPr>
        <w:t>17.</w:t>
      </w:r>
      <w:r>
        <w:rPr>
          <w:rFonts w:hint="eastAsia" w:hAnsi="宋体"/>
          <w:u w:val="none"/>
        </w:rPr>
        <w:tab/>
      </w:r>
      <w:r>
        <w:rPr>
          <w:rFonts w:hint="eastAsia" w:hAnsi="宋体"/>
          <w:u w:val="none"/>
        </w:rPr>
        <w:t>投标文件的修改、补充与撤回</w:t>
      </w:r>
      <w:bookmarkEnd w:id="129"/>
      <w:bookmarkEnd w:id="130"/>
      <w:bookmarkEnd w:id="131"/>
      <w:bookmarkEnd w:id="132"/>
    </w:p>
    <w:p>
      <w:pPr>
        <w:spacing w:before="120" w:line="360" w:lineRule="auto"/>
        <w:ind w:left="900" w:hanging="900"/>
        <w:rPr>
          <w:rFonts w:ascii="宋体" w:hAnsi="宋体"/>
          <w:sz w:val="24"/>
        </w:rPr>
      </w:pPr>
      <w:r>
        <w:rPr>
          <w:rFonts w:hint="eastAsia" w:ascii="宋体" w:hAnsi="宋体"/>
          <w:sz w:val="24"/>
        </w:rPr>
        <w:t>17.1</w:t>
      </w:r>
      <w:r>
        <w:rPr>
          <w:rFonts w:hint="eastAsia" w:ascii="宋体" w:hAnsi="宋体"/>
          <w:sz w:val="24"/>
        </w:rPr>
        <w:tab/>
      </w:r>
      <w:r>
        <w:rPr>
          <w:rFonts w:hint="eastAsia" w:ascii="宋体" w:hAnsi="宋体"/>
          <w:sz w:val="24"/>
        </w:rPr>
        <w:t>投标人在提交投标文件后，可在投标截止时间前对其投标文件进行修改、补充或撤回，但必须有修改、补充或撤回的书面通知并由法定代表人或正式授权的投标人代表签字并加盖公章。</w:t>
      </w:r>
    </w:p>
    <w:p>
      <w:pPr>
        <w:spacing w:before="120" w:line="360" w:lineRule="auto"/>
        <w:ind w:left="900" w:hanging="900"/>
        <w:rPr>
          <w:rFonts w:ascii="宋体" w:hAnsi="宋体"/>
          <w:sz w:val="24"/>
        </w:rPr>
      </w:pPr>
      <w:r>
        <w:rPr>
          <w:rFonts w:hint="eastAsia" w:ascii="宋体" w:hAnsi="宋体"/>
          <w:sz w:val="24"/>
        </w:rPr>
        <w:t>17.2</w:t>
      </w:r>
      <w:r>
        <w:rPr>
          <w:rFonts w:hint="eastAsia" w:ascii="宋体" w:hAnsi="宋体"/>
          <w:sz w:val="24"/>
        </w:rPr>
        <w:tab/>
      </w:r>
      <w:r>
        <w:rPr>
          <w:rFonts w:hint="eastAsia" w:ascii="宋体" w:hAnsi="宋体"/>
          <w:sz w:val="24"/>
        </w:rPr>
        <w:t>投标人对投标文件的补充或修改通知还须按照本章第15条进行密封和标记（注明项目名称、项目编号、“补充或修改通知”等）。</w:t>
      </w:r>
    </w:p>
    <w:p>
      <w:pPr>
        <w:spacing w:before="120" w:line="360" w:lineRule="auto"/>
        <w:ind w:left="900" w:hanging="900"/>
        <w:rPr>
          <w:rFonts w:ascii="宋体" w:hAnsi="宋体"/>
          <w:sz w:val="24"/>
        </w:rPr>
      </w:pPr>
      <w:r>
        <w:rPr>
          <w:rFonts w:hint="eastAsia" w:ascii="宋体" w:hAnsi="宋体"/>
          <w:sz w:val="24"/>
        </w:rPr>
        <w:t>17.3</w:t>
      </w:r>
      <w:r>
        <w:rPr>
          <w:rFonts w:hint="eastAsia" w:ascii="宋体" w:hAnsi="宋体"/>
          <w:sz w:val="24"/>
        </w:rPr>
        <w:tab/>
      </w:r>
      <w:r>
        <w:rPr>
          <w:rFonts w:hint="eastAsia" w:ascii="宋体" w:hAnsi="宋体"/>
          <w:sz w:val="24"/>
        </w:rPr>
        <w:t>在投标截止时间之后，投标人不得修改、补充或撤回其投标文件（评标委员会要求的澄清除外）。</w:t>
      </w:r>
    </w:p>
    <w:p>
      <w:pPr>
        <w:spacing w:before="120" w:line="360" w:lineRule="auto"/>
        <w:ind w:left="900" w:hanging="900"/>
        <w:rPr>
          <w:rFonts w:ascii="宋体" w:hAnsi="宋体"/>
          <w:sz w:val="24"/>
        </w:rPr>
      </w:pPr>
      <w:r>
        <w:rPr>
          <w:rFonts w:hint="eastAsia" w:ascii="宋体" w:hAnsi="宋体"/>
          <w:sz w:val="24"/>
        </w:rPr>
        <w:t>17.4   在投标截止时间后、投标有效期内，投标人不得撤销其投标文件（包括全部或部分投标资料），否则其投标保证金将不予退还。</w:t>
      </w:r>
    </w:p>
    <w:p>
      <w:pPr>
        <w:spacing w:before="120" w:line="360" w:lineRule="auto"/>
        <w:rPr>
          <w:rFonts w:ascii="宋体" w:hAnsi="宋体"/>
          <w:sz w:val="24"/>
        </w:rPr>
      </w:pPr>
    </w:p>
    <w:p>
      <w:pPr>
        <w:pStyle w:val="5"/>
        <w:spacing w:line="360" w:lineRule="auto"/>
        <w:rPr>
          <w:rFonts w:ascii="宋体" w:hAnsi="宋体" w:eastAsia="宋体"/>
          <w:sz w:val="24"/>
        </w:rPr>
      </w:pPr>
      <w:bookmarkStart w:id="133" w:name="_Toc19044"/>
      <w:bookmarkStart w:id="134" w:name="_Toc520356163"/>
      <w:r>
        <w:rPr>
          <w:rFonts w:hint="eastAsia" w:ascii="宋体" w:hAnsi="宋体" w:eastAsia="宋体"/>
          <w:sz w:val="24"/>
        </w:rPr>
        <w:t>五   开标及评标</w:t>
      </w:r>
      <w:bookmarkEnd w:id="133"/>
      <w:bookmarkEnd w:id="134"/>
    </w:p>
    <w:p>
      <w:pPr>
        <w:pStyle w:val="6"/>
        <w:spacing w:line="360" w:lineRule="auto"/>
        <w:ind w:left="899" w:hanging="899"/>
        <w:rPr>
          <w:rFonts w:hAnsi="宋体"/>
          <w:u w:val="none"/>
        </w:rPr>
      </w:pPr>
      <w:bookmarkStart w:id="135" w:name="_Toc19523"/>
      <w:bookmarkStart w:id="136" w:name="_Toc520356164"/>
      <w:bookmarkStart w:id="137" w:name="_Toc134857292"/>
      <w:bookmarkStart w:id="138" w:name="_Toc163893406"/>
      <w:r>
        <w:rPr>
          <w:rFonts w:hint="eastAsia" w:hAnsi="宋体"/>
          <w:u w:val="none"/>
        </w:rPr>
        <w:t>18.</w:t>
      </w:r>
      <w:r>
        <w:rPr>
          <w:rFonts w:hint="eastAsia" w:hAnsi="宋体"/>
          <w:u w:val="none"/>
        </w:rPr>
        <w:tab/>
      </w:r>
      <w:r>
        <w:rPr>
          <w:rFonts w:hint="eastAsia" w:hAnsi="宋体"/>
          <w:u w:val="none"/>
        </w:rPr>
        <w:t>开标</w:t>
      </w:r>
      <w:bookmarkEnd w:id="135"/>
      <w:bookmarkEnd w:id="136"/>
      <w:bookmarkEnd w:id="137"/>
      <w:bookmarkEnd w:id="138"/>
    </w:p>
    <w:p>
      <w:pPr>
        <w:spacing w:before="120" w:line="360" w:lineRule="auto"/>
        <w:ind w:left="898" w:hanging="898"/>
        <w:rPr>
          <w:rFonts w:ascii="宋体" w:hAnsi="宋体"/>
          <w:sz w:val="24"/>
          <w:highlight w:val="yellow"/>
        </w:rPr>
      </w:pPr>
      <w:r>
        <w:rPr>
          <w:rFonts w:hint="eastAsia" w:ascii="宋体" w:hAnsi="宋体"/>
          <w:sz w:val="24"/>
        </w:rPr>
        <w:t>18.1</w:t>
      </w:r>
      <w:r>
        <w:rPr>
          <w:rFonts w:hint="eastAsia" w:ascii="宋体" w:hAnsi="宋体"/>
          <w:sz w:val="24"/>
        </w:rPr>
        <w:tab/>
      </w:r>
      <w:r>
        <w:rPr>
          <w:rFonts w:hint="eastAsia" w:ascii="宋体" w:hAnsi="宋体"/>
          <w:sz w:val="24"/>
        </w:rPr>
        <w:t>采购代理机构将在规定的日期、时间和地点组织公开开标，投标人可派一名代表（即开标代表）参加开标仪式。</w:t>
      </w:r>
    </w:p>
    <w:p>
      <w:pPr>
        <w:spacing w:before="120" w:line="360" w:lineRule="auto"/>
        <w:ind w:left="898" w:hanging="898"/>
        <w:rPr>
          <w:rFonts w:ascii="宋体" w:hAnsi="宋体"/>
          <w:sz w:val="24"/>
          <w:highlight w:val="yellow"/>
        </w:rPr>
      </w:pPr>
      <w:r>
        <w:rPr>
          <w:rFonts w:hint="eastAsia" w:ascii="宋体" w:hAnsi="宋体"/>
          <w:sz w:val="24"/>
        </w:rPr>
        <w:t>18.2</w:t>
      </w:r>
      <w:r>
        <w:rPr>
          <w:rFonts w:hint="eastAsia" w:ascii="宋体" w:hAnsi="宋体"/>
          <w:sz w:val="24"/>
        </w:rPr>
        <w:tab/>
      </w:r>
      <w:r>
        <w:rPr>
          <w:rFonts w:hint="eastAsia" w:ascii="宋体" w:hAnsi="宋体"/>
          <w:sz w:val="24"/>
        </w:rPr>
        <w:t>开标时，由投标人或者其推选的代表检查自身投标文件的密封情况，经确认无误后，由采购代理机构当众宣读投标人名称、投标价格和招标文件规定的需要宣布的其他内容。未宣读的投标总价、价格折扣和招标文件允许提供的备选 投标方案等实质内容，评标时不予承认。在开标时没有启封和唱标的投标文件在评标时将不予考虑。</w:t>
      </w:r>
    </w:p>
    <w:p>
      <w:pPr>
        <w:spacing w:before="120" w:line="360" w:lineRule="auto"/>
        <w:ind w:left="904" w:leftChars="402" w:hanging="60" w:hangingChars="25"/>
        <w:rPr>
          <w:rFonts w:ascii="宋体" w:hAnsi="宋体"/>
          <w:sz w:val="24"/>
        </w:rPr>
      </w:pPr>
      <w:r>
        <w:rPr>
          <w:rFonts w:hint="eastAsia" w:ascii="宋体" w:hAnsi="宋体"/>
          <w:sz w:val="24"/>
        </w:rPr>
        <w:t>投标人不足3家的，不得开标。</w:t>
      </w:r>
    </w:p>
    <w:p>
      <w:pPr>
        <w:spacing w:before="120" w:line="360" w:lineRule="auto"/>
        <w:ind w:left="898" w:hanging="898"/>
        <w:rPr>
          <w:rFonts w:ascii="宋体" w:hAnsi="宋体"/>
          <w:sz w:val="24"/>
        </w:rPr>
      </w:pPr>
      <w:r>
        <w:rPr>
          <w:rFonts w:hint="eastAsia" w:ascii="宋体" w:hAnsi="宋体"/>
          <w:sz w:val="24"/>
        </w:rPr>
        <w:t>18.3</w:t>
      </w:r>
      <w:r>
        <w:rPr>
          <w:rFonts w:hint="eastAsia" w:ascii="宋体" w:hAnsi="宋体"/>
          <w:sz w:val="24"/>
        </w:rPr>
        <w:tab/>
      </w:r>
      <w:bookmarkStart w:id="139" w:name="_Toc520356165"/>
      <w:r>
        <w:rPr>
          <w:rFonts w:hint="eastAsia" w:ascii="宋体" w:hAnsi="宋体"/>
          <w:sz w:val="24"/>
        </w:rPr>
        <w:t>采购代理机构将打印开标记录，投标人参加开标仪式的代表应在该开标记录上签字确认开标结果。若无投标人的代表签字确认，以采购代理机构打印的开标记录为准。投标人未派代表参加开标的，视同认可开标结果。</w:t>
      </w:r>
    </w:p>
    <w:p>
      <w:pPr>
        <w:spacing w:before="120" w:line="360" w:lineRule="auto"/>
        <w:ind w:left="898" w:hanging="898"/>
        <w:rPr>
          <w:rFonts w:ascii="宋体" w:hAnsi="宋体"/>
          <w:sz w:val="24"/>
        </w:rPr>
      </w:pPr>
      <w:r>
        <w:rPr>
          <w:rFonts w:hint="eastAsia" w:ascii="宋体" w:hAnsi="宋体"/>
          <w:sz w:val="24"/>
        </w:rPr>
        <w:t>18.4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6"/>
        <w:spacing w:line="360" w:lineRule="auto"/>
        <w:ind w:left="899" w:hanging="899"/>
        <w:rPr>
          <w:rFonts w:hAnsi="宋体"/>
          <w:u w:val="none"/>
        </w:rPr>
      </w:pPr>
      <w:bookmarkStart w:id="140" w:name="_Toc19218"/>
      <w:bookmarkStart w:id="141" w:name="_Toc134857293"/>
      <w:bookmarkStart w:id="142" w:name="_Toc163893407"/>
      <w:r>
        <w:rPr>
          <w:rFonts w:hint="eastAsia" w:hAnsi="宋体"/>
          <w:u w:val="none"/>
        </w:rPr>
        <w:t>19.</w:t>
      </w:r>
      <w:r>
        <w:rPr>
          <w:rFonts w:hint="eastAsia" w:hAnsi="宋体"/>
          <w:u w:val="none"/>
        </w:rPr>
        <w:tab/>
      </w:r>
      <w:r>
        <w:rPr>
          <w:rFonts w:hint="eastAsia" w:hAnsi="宋体"/>
          <w:u w:val="none"/>
        </w:rPr>
        <w:t>资格审查</w:t>
      </w:r>
      <w:bookmarkEnd w:id="140"/>
    </w:p>
    <w:p>
      <w:pPr>
        <w:spacing w:before="120" w:line="360" w:lineRule="auto"/>
        <w:ind w:left="898" w:hanging="898"/>
      </w:pPr>
      <w:r>
        <w:rPr>
          <w:rFonts w:hint="eastAsia" w:ascii="宋体" w:hAnsi="宋体"/>
          <w:sz w:val="24"/>
        </w:rPr>
        <w:t>19.1   见第三章《资格审查》。</w:t>
      </w:r>
      <w:r>
        <w:rPr>
          <w:rFonts w:hint="eastAsia" w:hAnsi="宋体"/>
        </w:rPr>
        <w:t xml:space="preserve">  </w:t>
      </w:r>
    </w:p>
    <w:p>
      <w:pPr>
        <w:pStyle w:val="6"/>
        <w:spacing w:line="360" w:lineRule="auto"/>
        <w:ind w:left="899" w:hanging="899"/>
        <w:rPr>
          <w:rFonts w:hAnsi="宋体"/>
          <w:u w:val="none"/>
        </w:rPr>
      </w:pPr>
      <w:bookmarkStart w:id="143" w:name="_Toc24338"/>
      <w:r>
        <w:rPr>
          <w:rFonts w:hint="eastAsia" w:hAnsi="宋体"/>
          <w:u w:val="none"/>
        </w:rPr>
        <w:t>20.</w:t>
      </w:r>
      <w:r>
        <w:rPr>
          <w:rFonts w:hint="eastAsia" w:hAnsi="宋体"/>
          <w:u w:val="none"/>
        </w:rPr>
        <w:tab/>
      </w:r>
      <w:bookmarkEnd w:id="139"/>
      <w:r>
        <w:rPr>
          <w:rFonts w:hint="eastAsia" w:hAnsi="宋体"/>
          <w:u w:val="none"/>
        </w:rPr>
        <w:t>组建评标委员会</w:t>
      </w:r>
      <w:bookmarkEnd w:id="141"/>
      <w:bookmarkEnd w:id="142"/>
      <w:bookmarkEnd w:id="143"/>
    </w:p>
    <w:p>
      <w:pPr>
        <w:pStyle w:val="12"/>
        <w:spacing w:line="360" w:lineRule="auto"/>
        <w:ind w:left="960" w:hanging="960" w:hangingChars="400"/>
        <w:rPr>
          <w:rFonts w:hAnsi="宋体"/>
          <w:highlight w:val="yellow"/>
        </w:rPr>
      </w:pPr>
      <w:r>
        <w:rPr>
          <w:rFonts w:hint="eastAsia" w:hAnsi="宋体"/>
        </w:rPr>
        <w:t xml:space="preserve">20.1    </w:t>
      </w:r>
      <w:bookmarkStart w:id="144" w:name="_Toc520356166"/>
      <w:r>
        <w:rPr>
          <w:rFonts w:hint="eastAsia" w:hAnsi="宋体"/>
        </w:rPr>
        <w:t>评标委员会根据招标采购有关规定和本次招标采购项目的特点进行组建，并负责具体评标事务，独立履行职责。</w:t>
      </w:r>
    </w:p>
    <w:p>
      <w:pPr>
        <w:pStyle w:val="12"/>
        <w:spacing w:line="360" w:lineRule="auto"/>
        <w:ind w:left="960" w:hanging="960" w:hangingChars="400"/>
        <w:rPr>
          <w:rFonts w:hAnsi="宋体"/>
        </w:rPr>
      </w:pPr>
      <w:r>
        <w:rPr>
          <w:rFonts w:hint="eastAsia" w:hAnsi="宋体"/>
        </w:rPr>
        <w:t>20.2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采购活动。</w:t>
      </w:r>
    </w:p>
    <w:p>
      <w:pPr>
        <w:pStyle w:val="6"/>
        <w:spacing w:line="360" w:lineRule="auto"/>
        <w:rPr>
          <w:rFonts w:hAnsi="宋体"/>
          <w:u w:val="none"/>
        </w:rPr>
      </w:pPr>
      <w:bookmarkStart w:id="145" w:name="_Toc22714"/>
      <w:bookmarkStart w:id="146" w:name="_Toc163893408"/>
      <w:r>
        <w:rPr>
          <w:rFonts w:hint="eastAsia" w:hAnsi="宋体"/>
          <w:u w:val="none"/>
        </w:rPr>
        <w:t>21.</w:t>
      </w:r>
      <w:r>
        <w:rPr>
          <w:rFonts w:hint="eastAsia" w:hAnsi="宋体"/>
          <w:u w:val="none"/>
        </w:rPr>
        <w:tab/>
      </w:r>
      <w:r>
        <w:rPr>
          <w:rFonts w:hint="eastAsia" w:hAnsi="宋体"/>
          <w:u w:val="none"/>
        </w:rPr>
        <w:tab/>
      </w:r>
      <w:r>
        <w:rPr>
          <w:rFonts w:hint="eastAsia" w:hAnsi="宋体"/>
          <w:u w:val="none"/>
        </w:rPr>
        <w:t>评标程序、评标方法和评标标准</w:t>
      </w:r>
      <w:bookmarkEnd w:id="145"/>
    </w:p>
    <w:p>
      <w:pPr>
        <w:pStyle w:val="12"/>
        <w:spacing w:line="360" w:lineRule="auto"/>
        <w:ind w:left="960" w:hanging="960" w:hangingChars="400"/>
      </w:pPr>
      <w:r>
        <w:rPr>
          <w:rFonts w:hint="eastAsia" w:hAnsi="宋体"/>
        </w:rPr>
        <w:t>21.1  见第四章《评标程序、评标方法和评标标准》。</w:t>
      </w:r>
    </w:p>
    <w:bookmarkEnd w:id="144"/>
    <w:bookmarkEnd w:id="146"/>
    <w:p>
      <w:pPr>
        <w:pStyle w:val="5"/>
        <w:spacing w:line="360" w:lineRule="auto"/>
        <w:rPr>
          <w:rFonts w:ascii="宋体" w:hAnsi="宋体" w:eastAsia="宋体"/>
          <w:sz w:val="24"/>
        </w:rPr>
      </w:pPr>
      <w:bookmarkStart w:id="147" w:name="_Toc520356169"/>
    </w:p>
    <w:p>
      <w:pPr>
        <w:pStyle w:val="5"/>
        <w:spacing w:line="360" w:lineRule="auto"/>
        <w:rPr>
          <w:rFonts w:ascii="宋体" w:hAnsi="宋体" w:eastAsia="宋体"/>
          <w:sz w:val="24"/>
        </w:rPr>
      </w:pPr>
      <w:bookmarkStart w:id="148" w:name="_Toc22007"/>
      <w:r>
        <w:rPr>
          <w:rFonts w:hint="eastAsia" w:ascii="宋体" w:hAnsi="宋体" w:eastAsia="宋体"/>
          <w:sz w:val="24"/>
        </w:rPr>
        <w:t xml:space="preserve">六   </w:t>
      </w:r>
      <w:bookmarkEnd w:id="147"/>
      <w:r>
        <w:rPr>
          <w:rFonts w:hint="eastAsia" w:ascii="宋体" w:hAnsi="宋体" w:eastAsia="宋体"/>
          <w:sz w:val="24"/>
        </w:rPr>
        <w:t>确定中标</w:t>
      </w:r>
      <w:bookmarkEnd w:id="148"/>
    </w:p>
    <w:p>
      <w:pPr>
        <w:spacing w:before="120" w:line="360" w:lineRule="auto"/>
        <w:rPr>
          <w:rFonts w:ascii="宋体" w:hAnsi="宋体"/>
          <w:sz w:val="24"/>
        </w:rPr>
      </w:pPr>
    </w:p>
    <w:p>
      <w:pPr>
        <w:pStyle w:val="6"/>
        <w:spacing w:line="360" w:lineRule="auto"/>
        <w:rPr>
          <w:rFonts w:hAnsi="宋体"/>
          <w:u w:val="none"/>
        </w:rPr>
      </w:pPr>
      <w:bookmarkStart w:id="149" w:name="_Toc520356171"/>
      <w:bookmarkStart w:id="150" w:name="_Toc163893414"/>
      <w:bookmarkStart w:id="151" w:name="_Toc134857299"/>
      <w:bookmarkStart w:id="152" w:name="_Toc15889"/>
      <w:r>
        <w:rPr>
          <w:rFonts w:hint="eastAsia" w:hAnsi="宋体"/>
          <w:u w:val="none"/>
        </w:rPr>
        <w:t>22．</w:t>
      </w:r>
      <w:r>
        <w:rPr>
          <w:rFonts w:hint="eastAsia" w:hAnsi="宋体"/>
          <w:u w:val="none"/>
        </w:rPr>
        <w:tab/>
      </w:r>
      <w:bookmarkEnd w:id="149"/>
      <w:r>
        <w:rPr>
          <w:rFonts w:hint="eastAsia" w:hAnsi="宋体"/>
          <w:u w:val="none"/>
        </w:rPr>
        <w:t>确定中标人</w:t>
      </w:r>
      <w:bookmarkEnd w:id="150"/>
      <w:bookmarkEnd w:id="151"/>
      <w:bookmarkEnd w:id="152"/>
    </w:p>
    <w:p>
      <w:pPr>
        <w:spacing w:before="120" w:line="360" w:lineRule="auto"/>
        <w:ind w:left="900" w:hanging="900"/>
        <w:rPr>
          <w:rFonts w:ascii="宋体" w:hAnsi="宋体" w:cs="Arial"/>
          <w:sz w:val="24"/>
          <w:highlight w:val="yellow"/>
        </w:rPr>
      </w:pPr>
      <w:r>
        <w:rPr>
          <w:rFonts w:hint="eastAsia" w:ascii="宋体" w:hAnsi="宋体"/>
          <w:sz w:val="24"/>
        </w:rPr>
        <w:t>22.1</w:t>
      </w:r>
      <w:r>
        <w:rPr>
          <w:rFonts w:hint="eastAsia" w:ascii="宋体" w:hAnsi="宋体"/>
          <w:sz w:val="24"/>
        </w:rPr>
        <w:tab/>
      </w:r>
      <w:r>
        <w:rPr>
          <w:rFonts w:hint="eastAsia" w:ascii="宋体" w:hAnsi="宋体"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pPr>
        <w:spacing w:before="120" w:line="360" w:lineRule="auto"/>
        <w:ind w:left="960" w:hanging="960" w:hangingChars="400"/>
        <w:rPr>
          <w:rFonts w:ascii="宋体" w:hAnsi="宋体"/>
          <w:sz w:val="24"/>
        </w:rPr>
      </w:pPr>
      <w:r>
        <w:rPr>
          <w:rFonts w:hint="eastAsia" w:ascii="宋体" w:hAnsi="宋体"/>
          <w:color w:val="000000"/>
          <w:sz w:val="24"/>
        </w:rPr>
        <w:t>22.2</w:t>
      </w:r>
      <w:r>
        <w:rPr>
          <w:rFonts w:hint="eastAsia" w:ascii="宋体" w:hAnsi="宋体"/>
          <w:color w:val="000000"/>
          <w:sz w:val="24"/>
        </w:rPr>
        <w:tab/>
      </w:r>
      <w:r>
        <w:rPr>
          <w:rFonts w:hint="eastAsia" w:ascii="宋体" w:hAnsi="宋体"/>
          <w:sz w:val="24"/>
        </w:rPr>
        <w:t>采购人有权根据投标人递交的投标文件，对投标人的财务、技术和生产能力等进行真实性审查。如果审查中发现虚假问题，采购人将保留追究投标人法律责任的权利。</w:t>
      </w:r>
    </w:p>
    <w:p>
      <w:pPr>
        <w:pStyle w:val="6"/>
        <w:spacing w:line="360" w:lineRule="auto"/>
        <w:rPr>
          <w:rFonts w:hAnsi="宋体"/>
          <w:u w:val="none"/>
        </w:rPr>
      </w:pPr>
      <w:bookmarkStart w:id="153" w:name="_Toc134857302"/>
      <w:bookmarkStart w:id="154" w:name="_Toc163893416"/>
      <w:bookmarkStart w:id="155" w:name="_Toc19198"/>
      <w:bookmarkStart w:id="156" w:name="_Toc520356174"/>
      <w:r>
        <w:rPr>
          <w:rFonts w:hint="eastAsia" w:hAnsi="宋体"/>
          <w:u w:val="none"/>
        </w:rPr>
        <w:t>23．</w:t>
      </w:r>
      <w:r>
        <w:rPr>
          <w:rFonts w:hint="eastAsia" w:hAnsi="宋体"/>
          <w:u w:val="none"/>
        </w:rPr>
        <w:tab/>
      </w:r>
      <w:r>
        <w:rPr>
          <w:rFonts w:hint="eastAsia" w:hAnsi="宋体"/>
          <w:u w:val="none"/>
        </w:rPr>
        <w:t>中标公告和中标通知书</w:t>
      </w:r>
      <w:bookmarkEnd w:id="153"/>
      <w:bookmarkEnd w:id="154"/>
      <w:bookmarkEnd w:id="155"/>
      <w:bookmarkEnd w:id="156"/>
    </w:p>
    <w:p>
      <w:pPr>
        <w:spacing w:before="120" w:line="360" w:lineRule="auto"/>
        <w:ind w:left="900" w:hanging="900"/>
        <w:rPr>
          <w:rFonts w:ascii="宋体" w:hAnsi="宋体"/>
          <w:color w:val="FF0000"/>
          <w:sz w:val="24"/>
          <w:u w:val="single"/>
        </w:rPr>
      </w:pPr>
      <w:r>
        <w:rPr>
          <w:rFonts w:hint="eastAsia" w:ascii="宋体" w:hAnsi="宋体"/>
          <w:sz w:val="24"/>
        </w:rPr>
        <w:t>23.1</w:t>
      </w:r>
      <w:r>
        <w:rPr>
          <w:rFonts w:hint="eastAsia" w:ascii="宋体" w:hAnsi="宋体"/>
          <w:sz w:val="24"/>
        </w:rPr>
        <w:tab/>
      </w:r>
      <w:r>
        <w:rPr>
          <w:rFonts w:hint="eastAsia" w:ascii="宋体" w:hAnsi="宋体"/>
          <w:sz w:val="24"/>
        </w:rPr>
        <w:t>采购人或采购代理机构自中标人确定之日起2个工作日内，在财政部门指定的采购信息发布媒体公告中标结果，同时向中标人发出中标通知书，向未中标的投标人发出落标通知书，中标公告期限为1个工作日。</w:t>
      </w:r>
    </w:p>
    <w:p>
      <w:pPr>
        <w:spacing w:before="120" w:line="360" w:lineRule="auto"/>
        <w:ind w:left="900" w:hanging="900"/>
        <w:rPr>
          <w:rFonts w:ascii="宋体" w:hAnsi="宋体"/>
          <w:sz w:val="24"/>
        </w:rPr>
      </w:pPr>
      <w:r>
        <w:rPr>
          <w:rFonts w:hint="eastAsia" w:ascii="宋体" w:hAnsi="宋体"/>
          <w:sz w:val="24"/>
        </w:rPr>
        <w:t>23.2    中标通知书是合同的组成部分，对采购人和中标供应商均具有法律效力。中标通知书发出后，采购人改变中标结果的，或者中标供应商放弃中标项目的，应当依法承担法律责任。</w:t>
      </w:r>
    </w:p>
    <w:p>
      <w:pPr>
        <w:pStyle w:val="6"/>
        <w:spacing w:line="360" w:lineRule="auto"/>
        <w:rPr>
          <w:rFonts w:hAnsi="宋体"/>
          <w:u w:val="none"/>
        </w:rPr>
      </w:pPr>
      <w:bookmarkStart w:id="157" w:name="_Toc26228"/>
      <w:bookmarkStart w:id="158" w:name="_Ref467306978"/>
      <w:bookmarkStart w:id="159" w:name="_Toc163893417"/>
      <w:bookmarkStart w:id="160" w:name="_Toc520356175"/>
      <w:bookmarkStart w:id="161" w:name="_Toc134857303"/>
      <w:bookmarkStart w:id="162" w:name="_Ref467307204"/>
      <w:bookmarkStart w:id="163" w:name="_Ref467306377"/>
      <w:bookmarkStart w:id="164" w:name="_Ref467307062"/>
      <w:r>
        <w:rPr>
          <w:rFonts w:hint="eastAsia" w:hAnsi="宋体"/>
          <w:u w:val="none"/>
        </w:rPr>
        <w:t>24．</w:t>
      </w:r>
      <w:r>
        <w:rPr>
          <w:rFonts w:hint="eastAsia" w:hAnsi="宋体"/>
          <w:u w:val="none"/>
        </w:rPr>
        <w:tab/>
      </w:r>
      <w:r>
        <w:rPr>
          <w:rFonts w:hint="eastAsia" w:hAnsi="宋体"/>
          <w:u w:val="none"/>
        </w:rPr>
        <w:t>废标</w:t>
      </w:r>
      <w:bookmarkEnd w:id="157"/>
    </w:p>
    <w:p>
      <w:pPr>
        <w:pStyle w:val="17"/>
        <w:spacing w:line="360" w:lineRule="auto"/>
        <w:rPr>
          <w:rFonts w:hAnsi="宋体"/>
          <w:sz w:val="24"/>
        </w:rPr>
      </w:pPr>
      <w:bookmarkStart w:id="165" w:name="_Toc135536492"/>
      <w:bookmarkStart w:id="166" w:name="_Toc134857301"/>
      <w:r>
        <w:rPr>
          <w:rFonts w:hint="eastAsia" w:hAnsi="宋体"/>
          <w:sz w:val="24"/>
        </w:rPr>
        <w:t xml:space="preserve">24.1   </w:t>
      </w:r>
      <w:bookmarkEnd w:id="165"/>
      <w:bookmarkEnd w:id="166"/>
      <w:r>
        <w:rPr>
          <w:rFonts w:hAnsi="宋体"/>
          <w:sz w:val="24"/>
        </w:rPr>
        <w:t>在招标采购中，</w:t>
      </w:r>
      <w:r>
        <w:rPr>
          <w:rFonts w:hint="eastAsia" w:hAnsi="宋体"/>
          <w:sz w:val="24"/>
        </w:rPr>
        <w:t>有包号</w:t>
      </w:r>
      <w:r>
        <w:rPr>
          <w:rFonts w:hAnsi="宋体"/>
          <w:sz w:val="24"/>
        </w:rPr>
        <w:t>出现下列情形之一的，</w:t>
      </w:r>
      <w:r>
        <w:rPr>
          <w:rFonts w:hint="eastAsia" w:hAnsi="宋体"/>
          <w:sz w:val="24"/>
        </w:rPr>
        <w:t>该包</w:t>
      </w:r>
      <w:r>
        <w:rPr>
          <w:rFonts w:hAnsi="宋体"/>
          <w:sz w:val="24"/>
        </w:rPr>
        <w:t>应予废标：</w:t>
      </w:r>
    </w:p>
    <w:p>
      <w:pPr>
        <w:pStyle w:val="17"/>
        <w:spacing w:line="360" w:lineRule="auto"/>
        <w:ind w:firstLine="901"/>
        <w:rPr>
          <w:rFonts w:hAnsi="宋体"/>
          <w:sz w:val="24"/>
          <w:szCs w:val="24"/>
        </w:rPr>
      </w:pPr>
      <w:r>
        <w:rPr>
          <w:rFonts w:hint="eastAsia" w:hAnsi="宋体"/>
          <w:sz w:val="24"/>
          <w:szCs w:val="24"/>
        </w:rPr>
        <w:t>24.1.1 符合专业条件的投标人或者对招标文件作实质响应的投标人不足三家的；</w:t>
      </w:r>
    </w:p>
    <w:p>
      <w:pPr>
        <w:pStyle w:val="17"/>
        <w:spacing w:line="360" w:lineRule="auto"/>
        <w:ind w:firstLine="901"/>
        <w:rPr>
          <w:rFonts w:hAnsi="宋体"/>
          <w:sz w:val="24"/>
          <w:szCs w:val="24"/>
        </w:rPr>
      </w:pPr>
      <w:r>
        <w:rPr>
          <w:rFonts w:hint="eastAsia" w:hAnsi="宋体"/>
          <w:sz w:val="24"/>
          <w:szCs w:val="24"/>
        </w:rPr>
        <w:t>24.1.2 出现影响采购公正的违法、违规行为的；</w:t>
      </w:r>
    </w:p>
    <w:p>
      <w:pPr>
        <w:pStyle w:val="17"/>
        <w:spacing w:line="360" w:lineRule="auto"/>
        <w:ind w:firstLine="901"/>
        <w:rPr>
          <w:rFonts w:hAnsi="宋体"/>
          <w:sz w:val="24"/>
          <w:szCs w:val="24"/>
        </w:rPr>
      </w:pPr>
      <w:r>
        <w:rPr>
          <w:rFonts w:hint="eastAsia" w:hAnsi="宋体"/>
          <w:sz w:val="24"/>
          <w:szCs w:val="24"/>
        </w:rPr>
        <w:t>24.1.3 投标人的报价均超过了采购预算，采购人不能支付的；</w:t>
      </w:r>
    </w:p>
    <w:p>
      <w:pPr>
        <w:pStyle w:val="17"/>
        <w:tabs>
          <w:tab w:val="left" w:pos="851"/>
          <w:tab w:val="left" w:pos="1275"/>
          <w:tab w:val="left" w:pos="1440"/>
          <w:tab w:val="left" w:pos="1620"/>
        </w:tabs>
        <w:spacing w:line="360" w:lineRule="auto"/>
        <w:ind w:firstLine="901"/>
        <w:rPr>
          <w:rFonts w:hAnsi="宋体"/>
          <w:sz w:val="24"/>
          <w:szCs w:val="24"/>
        </w:rPr>
      </w:pPr>
      <w:r>
        <w:rPr>
          <w:rFonts w:hint="eastAsia" w:hAnsi="宋体"/>
          <w:sz w:val="24"/>
          <w:szCs w:val="24"/>
        </w:rPr>
        <w:t>24.1.4 因重大变故，采购任务取消的。</w:t>
      </w:r>
    </w:p>
    <w:p>
      <w:pPr>
        <w:pStyle w:val="17"/>
        <w:tabs>
          <w:tab w:val="left" w:pos="851"/>
          <w:tab w:val="left" w:pos="1275"/>
          <w:tab w:val="left" w:pos="1440"/>
          <w:tab w:val="left" w:pos="1620"/>
        </w:tabs>
        <w:spacing w:line="360" w:lineRule="auto"/>
        <w:rPr>
          <w:rFonts w:hAnsi="宋体"/>
          <w:sz w:val="24"/>
        </w:rPr>
      </w:pPr>
      <w:r>
        <w:rPr>
          <w:rFonts w:hint="eastAsia" w:hAnsi="宋体"/>
          <w:sz w:val="24"/>
        </w:rPr>
        <w:t>24.2   废标后，采购代理机构应将废标理由通知所有投标人。</w:t>
      </w:r>
    </w:p>
    <w:p>
      <w:pPr>
        <w:pStyle w:val="6"/>
        <w:spacing w:line="360" w:lineRule="auto"/>
        <w:ind w:left="899" w:hanging="899"/>
        <w:rPr>
          <w:rFonts w:hAnsi="宋体"/>
          <w:u w:val="none"/>
        </w:rPr>
      </w:pPr>
      <w:bookmarkStart w:id="167" w:name="_Toc22412"/>
      <w:r>
        <w:rPr>
          <w:rFonts w:hint="eastAsia" w:hAnsi="宋体"/>
          <w:u w:val="none"/>
        </w:rPr>
        <w:t>25.</w:t>
      </w:r>
      <w:r>
        <w:rPr>
          <w:rFonts w:hint="eastAsia" w:hAnsi="宋体"/>
          <w:u w:val="none"/>
        </w:rPr>
        <w:tab/>
      </w:r>
      <w:r>
        <w:rPr>
          <w:rFonts w:hint="eastAsia" w:hAnsi="宋体"/>
          <w:u w:val="none"/>
        </w:rPr>
        <w:t>签订合同</w:t>
      </w:r>
      <w:bookmarkEnd w:id="158"/>
      <w:bookmarkEnd w:id="159"/>
      <w:bookmarkEnd w:id="160"/>
      <w:bookmarkEnd w:id="161"/>
      <w:bookmarkEnd w:id="162"/>
      <w:bookmarkEnd w:id="163"/>
      <w:bookmarkEnd w:id="164"/>
      <w:bookmarkEnd w:id="167"/>
    </w:p>
    <w:p>
      <w:pPr>
        <w:spacing w:line="360" w:lineRule="auto"/>
        <w:ind w:left="900" w:hanging="900"/>
        <w:rPr>
          <w:rFonts w:ascii="宋体" w:hAnsi="宋体"/>
          <w:sz w:val="24"/>
        </w:rPr>
      </w:pPr>
      <w:r>
        <w:rPr>
          <w:rFonts w:hint="eastAsia" w:ascii="宋体" w:hAnsi="宋体"/>
          <w:sz w:val="24"/>
        </w:rPr>
        <w:t>25.1</w:t>
      </w:r>
      <w:r>
        <w:rPr>
          <w:rFonts w:hint="eastAsia" w:ascii="宋体" w:hAnsi="宋体"/>
          <w:sz w:val="24"/>
        </w:rPr>
        <w:tab/>
      </w:r>
      <w:r>
        <w:rPr>
          <w:rFonts w:hint="eastAsia" w:ascii="宋体" w:hAnsi="宋体"/>
          <w:sz w:val="24"/>
        </w:rPr>
        <w:t>中标人应当自中标通知书发出之日起30日内，</w:t>
      </w:r>
      <w:r>
        <w:rPr>
          <w:rFonts w:hint="eastAsia" w:ascii="宋体" w:hAnsi="宋体" w:cs="Arial"/>
          <w:sz w:val="24"/>
        </w:rPr>
        <w:t>按照招标文件和中标人投标文件的规定，</w:t>
      </w:r>
      <w:r>
        <w:rPr>
          <w:rFonts w:hint="eastAsia" w:ascii="宋体" w:hAnsi="宋体"/>
          <w:sz w:val="24"/>
        </w:rPr>
        <w:t>与采购人签订书面合同。</w:t>
      </w:r>
      <w:r>
        <w:rPr>
          <w:rFonts w:hint="eastAsia" w:ascii="宋体" w:hAnsi="宋体" w:cs="Arial"/>
          <w:sz w:val="24"/>
        </w:rPr>
        <w:t>所签订的合同不得对招标文件确定的事项和中标人投标文件作实质性修改，采购人不得向中标人提出任何不合理的要求作为签订合同的条件。</w:t>
      </w:r>
    </w:p>
    <w:p>
      <w:pPr>
        <w:spacing w:line="360" w:lineRule="auto"/>
        <w:ind w:left="900" w:hanging="900"/>
        <w:rPr>
          <w:rFonts w:ascii="宋体" w:hAnsi="宋体"/>
          <w:sz w:val="24"/>
        </w:rPr>
      </w:pPr>
      <w:r>
        <w:rPr>
          <w:rFonts w:hint="eastAsia" w:ascii="宋体" w:hAnsi="宋体"/>
          <w:sz w:val="24"/>
        </w:rPr>
        <w:t>25.2</w:t>
      </w:r>
      <w:r>
        <w:rPr>
          <w:rFonts w:hint="eastAsia" w:ascii="宋体" w:hAnsi="宋体"/>
          <w:sz w:val="24"/>
        </w:rPr>
        <w:tab/>
      </w:r>
      <w:bookmarkStart w:id="168" w:name="_Ref467307090"/>
      <w:bookmarkStart w:id="169" w:name="_Ref467306425"/>
      <w:bookmarkStart w:id="170" w:name="_Toc520356176"/>
      <w:r>
        <w:rPr>
          <w:rFonts w:hint="eastAsia" w:ascii="宋体" w:hAnsi="宋体"/>
          <w:sz w:val="24"/>
        </w:rPr>
        <w:t>招标文件、中标人的投标文件及其澄清文件等，</w:t>
      </w:r>
      <w:r>
        <w:rPr>
          <w:rFonts w:ascii="宋体" w:hAnsi="宋体"/>
          <w:sz w:val="24"/>
        </w:rPr>
        <w:t xml:space="preserve"> </w:t>
      </w:r>
      <w:r>
        <w:rPr>
          <w:rFonts w:hint="eastAsia" w:ascii="宋体" w:hAnsi="宋体"/>
          <w:sz w:val="24"/>
        </w:rPr>
        <w:t>均为签订合同的依据。</w:t>
      </w:r>
    </w:p>
    <w:p>
      <w:pPr>
        <w:spacing w:line="360" w:lineRule="auto"/>
        <w:ind w:left="900" w:hanging="900"/>
        <w:rPr>
          <w:rFonts w:ascii="宋体" w:hAnsi="宋体"/>
          <w:sz w:val="24"/>
        </w:rPr>
      </w:pPr>
      <w:r>
        <w:rPr>
          <w:rFonts w:hint="eastAsia" w:ascii="宋体" w:hAnsi="宋体"/>
          <w:sz w:val="24"/>
        </w:rPr>
        <w:t>25.3</w:t>
      </w:r>
      <w:r>
        <w:rPr>
          <w:rFonts w:hint="eastAsia" w:ascii="宋体" w:hAnsi="宋体"/>
          <w:sz w:val="24"/>
        </w:rPr>
        <w:tab/>
      </w:r>
      <w:r>
        <w:rPr>
          <w:rFonts w:hint="eastAsia" w:ascii="宋体" w:hAnsi="宋体"/>
          <w:sz w:val="24"/>
        </w:rPr>
        <w:t>中标人拒绝与采购人签订合同的，采购人可以按照评标报告推荐的中标候选人名单排序，确定下一候选人为中标人，也可以重新开展采购活动。</w:t>
      </w:r>
    </w:p>
    <w:p>
      <w:pPr>
        <w:spacing w:line="360" w:lineRule="auto"/>
        <w:ind w:left="900" w:hanging="900"/>
        <w:rPr>
          <w:rFonts w:ascii="宋体" w:hAnsi="宋体"/>
          <w:sz w:val="24"/>
        </w:rPr>
      </w:pPr>
      <w:r>
        <w:rPr>
          <w:rFonts w:hint="eastAsia" w:ascii="宋体" w:hAnsi="宋体"/>
          <w:sz w:val="24"/>
        </w:rPr>
        <w:t>25.4</w:t>
      </w:r>
      <w:r>
        <w:rPr>
          <w:rFonts w:hint="eastAsia" w:ascii="宋体" w:hAnsi="宋体"/>
          <w:sz w:val="24"/>
        </w:rPr>
        <w:tab/>
      </w:r>
      <w:r>
        <w:rPr>
          <w:rFonts w:hint="eastAsia" w:ascii="宋体" w:hAnsi="宋体"/>
          <w:sz w:val="24"/>
        </w:rPr>
        <w:t>联合体中标的，联合体各方应当共同与采购人签订合同，就中标项目向采购人承担连带责任。</w:t>
      </w:r>
    </w:p>
    <w:p>
      <w:pPr>
        <w:spacing w:line="360" w:lineRule="auto"/>
        <w:ind w:left="900" w:hanging="900"/>
        <w:rPr>
          <w:rFonts w:ascii="宋体" w:hAnsi="宋体"/>
          <w:sz w:val="24"/>
        </w:rPr>
      </w:pPr>
      <w:r>
        <w:rPr>
          <w:rFonts w:hint="eastAsia" w:ascii="宋体" w:hAnsi="宋体"/>
          <w:sz w:val="24"/>
        </w:rPr>
        <w:t>25.5</w:t>
      </w:r>
      <w:r>
        <w:rPr>
          <w:rFonts w:hint="eastAsia" w:ascii="宋体" w:hAnsi="宋体"/>
          <w:sz w:val="24"/>
        </w:rPr>
        <w:tab/>
      </w:r>
      <w:r>
        <w:rPr>
          <w:rFonts w:hint="eastAsia" w:ascii="宋体" w:hAnsi="宋体"/>
          <w:sz w:val="24"/>
        </w:rPr>
        <w:t>采购合同不能转包。</w:t>
      </w:r>
    </w:p>
    <w:p>
      <w:pPr>
        <w:spacing w:line="360" w:lineRule="auto"/>
        <w:ind w:left="900" w:hanging="900"/>
        <w:rPr>
          <w:rFonts w:ascii="宋体" w:hAnsi="宋体"/>
          <w:sz w:val="24"/>
        </w:rPr>
      </w:pPr>
      <w:r>
        <w:rPr>
          <w:rFonts w:hint="eastAsia" w:ascii="宋体" w:hAnsi="宋体"/>
          <w:sz w:val="24"/>
        </w:rPr>
        <w:t>25.6</w:t>
      </w:r>
      <w:r>
        <w:rPr>
          <w:rFonts w:hint="eastAsia" w:ascii="宋体" w:hAnsi="宋体"/>
          <w:sz w:val="24"/>
        </w:rPr>
        <w:tab/>
      </w:r>
      <w:r>
        <w:rPr>
          <w:rFonts w:hint="eastAsia"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否则</w:t>
      </w:r>
      <w:r>
        <w:rPr>
          <w:rFonts w:hint="eastAsia" w:ascii="宋体" w:hAnsi="宋体"/>
          <w:b/>
          <w:bCs/>
          <w:sz w:val="24"/>
        </w:rPr>
        <w:t>投标无效</w:t>
      </w:r>
      <w:r>
        <w:rPr>
          <w:rFonts w:hint="eastAsia" w:ascii="宋体" w:hAnsi="宋体"/>
          <w:sz w:val="24"/>
        </w:rPr>
        <w:t>。中标人就采购项目和分包项目向采购人负责，分包供应商就分包项目承担责任。</w:t>
      </w:r>
    </w:p>
    <w:bookmarkEnd w:id="168"/>
    <w:bookmarkEnd w:id="169"/>
    <w:bookmarkEnd w:id="170"/>
    <w:p>
      <w:pPr>
        <w:pStyle w:val="6"/>
        <w:spacing w:line="360" w:lineRule="auto"/>
        <w:rPr>
          <w:rFonts w:hAnsi="宋体"/>
          <w:u w:val="none"/>
        </w:rPr>
      </w:pPr>
      <w:bookmarkStart w:id="171" w:name="_Toc23368"/>
      <w:r>
        <w:rPr>
          <w:rFonts w:hint="eastAsia" w:hAnsi="宋体"/>
          <w:u w:val="none"/>
        </w:rPr>
        <w:t xml:space="preserve">26． </w:t>
      </w:r>
      <w:r>
        <w:rPr>
          <w:rFonts w:hint="eastAsia" w:hAnsi="宋体"/>
          <w:u w:val="none"/>
        </w:rPr>
        <w:tab/>
      </w:r>
      <w:r>
        <w:rPr>
          <w:rFonts w:hint="eastAsia" w:hAnsi="宋体"/>
          <w:u w:val="none"/>
        </w:rPr>
        <w:t>询问与质疑</w:t>
      </w:r>
      <w:bookmarkEnd w:id="171"/>
    </w:p>
    <w:p>
      <w:pPr>
        <w:spacing w:line="360" w:lineRule="auto"/>
        <w:ind w:left="900" w:hanging="900"/>
        <w:rPr>
          <w:rFonts w:ascii="宋体" w:hAnsi="宋体"/>
          <w:sz w:val="24"/>
        </w:rPr>
      </w:pPr>
      <w:r>
        <w:rPr>
          <w:rFonts w:hint="eastAsia" w:ascii="宋体" w:hAnsi="宋体"/>
          <w:sz w:val="24"/>
        </w:rPr>
        <w:t>26.1</w:t>
      </w:r>
      <w:r>
        <w:rPr>
          <w:rFonts w:hint="eastAsia" w:ascii="宋体" w:hAnsi="宋体"/>
          <w:sz w:val="24"/>
        </w:rPr>
        <w:tab/>
      </w:r>
      <w:r>
        <w:rPr>
          <w:rFonts w:hint="eastAsia" w:ascii="宋体" w:hAnsi="宋体"/>
          <w:sz w:val="24"/>
        </w:rPr>
        <w:t>询问</w:t>
      </w:r>
    </w:p>
    <w:p>
      <w:pPr>
        <w:spacing w:line="360" w:lineRule="auto"/>
        <w:ind w:left="900" w:hanging="900"/>
        <w:rPr>
          <w:rFonts w:ascii="宋体" w:hAnsi="宋体"/>
          <w:sz w:val="24"/>
        </w:rPr>
      </w:pPr>
      <w:r>
        <w:rPr>
          <w:rFonts w:hint="eastAsia" w:ascii="宋体" w:hAnsi="宋体"/>
          <w:sz w:val="24"/>
        </w:rPr>
        <w:t>26.1.1 投标人对采购活动事项有疑问的，可依法提出询问，并按《投标人须知资料表》载明的形式送达采购人或采购代理机构。</w:t>
      </w:r>
    </w:p>
    <w:p>
      <w:pPr>
        <w:spacing w:line="360" w:lineRule="auto"/>
        <w:ind w:left="900" w:hanging="900"/>
        <w:rPr>
          <w:rFonts w:ascii="宋体" w:hAnsi="宋体"/>
          <w:sz w:val="24"/>
        </w:rPr>
      </w:pPr>
      <w:r>
        <w:rPr>
          <w:rFonts w:hint="eastAsia" w:ascii="宋体" w:hAnsi="宋体"/>
          <w:sz w:val="24"/>
        </w:rPr>
        <w:t>26.1.2 采购人或采购代理机构对供应商依法提出的询问，在3个工作日内作出答复，但答复的内容不得涉及商业秘密。</w:t>
      </w:r>
    </w:p>
    <w:p>
      <w:pPr>
        <w:spacing w:line="360" w:lineRule="auto"/>
        <w:ind w:left="900" w:hanging="900"/>
        <w:rPr>
          <w:rFonts w:ascii="宋体" w:hAnsi="宋体"/>
          <w:sz w:val="24"/>
        </w:rPr>
      </w:pPr>
      <w:r>
        <w:rPr>
          <w:rFonts w:hint="eastAsia" w:ascii="宋体" w:hAnsi="宋体"/>
          <w:sz w:val="24"/>
        </w:rPr>
        <w:t>26.2</w:t>
      </w:r>
      <w:r>
        <w:rPr>
          <w:rFonts w:hint="eastAsia" w:ascii="宋体" w:hAnsi="宋体"/>
          <w:sz w:val="24"/>
        </w:rPr>
        <w:tab/>
      </w:r>
      <w:r>
        <w:rPr>
          <w:rFonts w:hint="eastAsia" w:ascii="宋体" w:hAnsi="宋体"/>
          <w:sz w:val="24"/>
        </w:rPr>
        <w:t>质疑</w:t>
      </w:r>
    </w:p>
    <w:p>
      <w:pPr>
        <w:spacing w:line="360" w:lineRule="auto"/>
        <w:ind w:left="900" w:hanging="900"/>
        <w:rPr>
          <w:rFonts w:ascii="宋体" w:hAnsi="宋体"/>
          <w:sz w:val="24"/>
        </w:rPr>
      </w:pPr>
      <w:r>
        <w:rPr>
          <w:rFonts w:hint="eastAsia" w:ascii="宋体" w:hAnsi="宋体"/>
          <w:sz w:val="24"/>
        </w:rPr>
        <w:t>26.2.1  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提出质疑的供应商应当是参与所质疑项目招标活动的供应商。潜在供应商已按要求购买招标文件的，可以按规定对招标文件提出质疑。</w:t>
      </w:r>
    </w:p>
    <w:p>
      <w:pPr>
        <w:spacing w:line="360" w:lineRule="auto"/>
        <w:ind w:left="900" w:hanging="900"/>
        <w:rPr>
          <w:rFonts w:ascii="宋体" w:hAnsi="宋体"/>
          <w:sz w:val="24"/>
        </w:rPr>
      </w:pPr>
      <w:r>
        <w:rPr>
          <w:rFonts w:hint="eastAsia" w:ascii="宋体" w:hAnsi="宋体"/>
          <w:sz w:val="24"/>
        </w:rPr>
        <w:t>26.2.2 质疑函须使用财政部制定的范本文件。</w:t>
      </w:r>
    </w:p>
    <w:p>
      <w:pPr>
        <w:spacing w:line="360" w:lineRule="auto"/>
        <w:ind w:left="900" w:hanging="900"/>
        <w:rPr>
          <w:rFonts w:ascii="宋体" w:hAnsi="宋体"/>
          <w:sz w:val="24"/>
        </w:rPr>
      </w:pPr>
      <w:r>
        <w:rPr>
          <w:rFonts w:hint="eastAsia" w:ascii="宋体" w:hAnsi="宋体"/>
          <w:sz w:val="24"/>
        </w:rPr>
        <w:t>26.2.3 投标人为自然人的，应当由本人签字；投标人为法人或者其他组织的，应当由法定代表人、主要负责人，或者其授权代表签字或者盖章，并加盖公章。</w:t>
      </w:r>
    </w:p>
    <w:p>
      <w:pPr>
        <w:spacing w:line="360" w:lineRule="auto"/>
        <w:ind w:left="900" w:hanging="900"/>
        <w:rPr>
          <w:rFonts w:ascii="宋体" w:hAnsi="宋体"/>
          <w:sz w:val="24"/>
        </w:rPr>
      </w:pPr>
      <w:r>
        <w:rPr>
          <w:rFonts w:hint="eastAsia" w:ascii="宋体" w:hAnsi="宋体"/>
          <w:sz w:val="24"/>
        </w:rPr>
        <w:t>26.2.4  投标人应在法定质疑期内一次性提出针对同一采购程序环节的质疑，法定质疑期内针对同一采购程序环节再次提出的质疑，采购人、采购代理机构有权不予答复。</w:t>
      </w:r>
    </w:p>
    <w:p>
      <w:pPr>
        <w:tabs>
          <w:tab w:val="left" w:pos="1080"/>
          <w:tab w:val="left" w:pos="2014"/>
        </w:tabs>
        <w:snapToGrid w:val="0"/>
        <w:spacing w:line="360" w:lineRule="auto"/>
        <w:rPr>
          <w:rFonts w:ascii="宋体" w:hAnsi="宋体"/>
          <w:sz w:val="24"/>
        </w:rPr>
      </w:pPr>
      <w:r>
        <w:rPr>
          <w:rFonts w:hint="eastAsia" w:ascii="宋体" w:hAnsi="宋体"/>
          <w:sz w:val="24"/>
        </w:rPr>
        <w:t xml:space="preserve">26.3   </w:t>
      </w:r>
      <w:r>
        <w:rPr>
          <w:rFonts w:ascii="宋体" w:hAnsi="宋体"/>
          <w:sz w:val="24"/>
        </w:rPr>
        <w:t>接收询问和质疑的联系部门、联系电话和通讯地址见《投标人须知资料表》</w:t>
      </w:r>
      <w:r>
        <w:rPr>
          <w:rFonts w:hint="eastAsia" w:ascii="宋体" w:hAnsi="宋体"/>
          <w:sz w:val="24"/>
        </w:rPr>
        <w:t>。</w:t>
      </w:r>
    </w:p>
    <w:p>
      <w:pPr>
        <w:pStyle w:val="6"/>
        <w:spacing w:line="360" w:lineRule="auto"/>
        <w:rPr>
          <w:rFonts w:hAnsi="宋体"/>
          <w:u w:val="none"/>
        </w:rPr>
      </w:pPr>
      <w:bookmarkStart w:id="172" w:name="_Toc163893418"/>
      <w:bookmarkStart w:id="173" w:name="_Toc134857304"/>
      <w:bookmarkStart w:id="174" w:name="_Toc9914"/>
      <w:r>
        <w:rPr>
          <w:rFonts w:hint="eastAsia" w:hAnsi="宋体"/>
          <w:u w:val="none"/>
        </w:rPr>
        <w:t xml:space="preserve">27． </w:t>
      </w:r>
      <w:r>
        <w:rPr>
          <w:rFonts w:hint="eastAsia" w:hAnsi="宋体"/>
          <w:u w:val="none"/>
        </w:rPr>
        <w:tab/>
      </w:r>
      <w:bookmarkEnd w:id="172"/>
      <w:bookmarkEnd w:id="173"/>
      <w:r>
        <w:rPr>
          <w:rFonts w:hint="eastAsia" w:hAnsi="宋体"/>
          <w:u w:val="none"/>
        </w:rPr>
        <w:t>代理费</w:t>
      </w:r>
      <w:bookmarkEnd w:id="174"/>
    </w:p>
    <w:p>
      <w:pPr>
        <w:spacing w:line="360" w:lineRule="auto"/>
        <w:ind w:left="900" w:hanging="900"/>
        <w:rPr>
          <w:sz w:val="24"/>
        </w:rPr>
      </w:pPr>
      <w:r>
        <w:rPr>
          <w:rFonts w:hint="eastAsia" w:ascii="宋体" w:hAnsi="宋体"/>
          <w:sz w:val="24"/>
        </w:rPr>
        <w:t>27.1</w:t>
      </w:r>
      <w:r>
        <w:rPr>
          <w:rFonts w:hint="eastAsia" w:ascii="宋体" w:hAnsi="宋体"/>
          <w:sz w:val="24"/>
        </w:rPr>
        <w:tab/>
      </w:r>
      <w:r>
        <w:rPr>
          <w:rFonts w:hint="eastAsia" w:ascii="宋体" w:hAnsi="宋体"/>
          <w:sz w:val="24"/>
        </w:rPr>
        <w:t>收费对象、收费标准及缴纳时间见《投标人须知资料表》。由中标人支付的，中标人须一次性向采购代理机构缴纳代理费，投标报价应包含代理费用。</w:t>
      </w:r>
    </w:p>
    <w:p>
      <w:pPr>
        <w:pStyle w:val="6"/>
        <w:spacing w:line="360" w:lineRule="auto"/>
        <w:rPr>
          <w:rFonts w:hAnsi="宋体"/>
          <w:b w:val="0"/>
        </w:rPr>
      </w:pPr>
      <w:bookmarkStart w:id="175" w:name="_Toc28000"/>
      <w:r>
        <w:rPr>
          <w:rFonts w:hint="eastAsia" w:hAnsi="宋体"/>
          <w:u w:val="none"/>
        </w:rPr>
        <w:t xml:space="preserve">28． </w:t>
      </w:r>
      <w:r>
        <w:rPr>
          <w:rFonts w:hint="eastAsia" w:hAnsi="宋体"/>
          <w:u w:val="none"/>
        </w:rPr>
        <w:tab/>
      </w:r>
      <w:r>
        <w:rPr>
          <w:rFonts w:hint="eastAsia" w:hAnsi="宋体"/>
          <w:u w:val="none"/>
        </w:rPr>
        <w:t>其它</w:t>
      </w:r>
      <w:bookmarkEnd w:id="175"/>
    </w:p>
    <w:p>
      <w:pPr>
        <w:spacing w:line="360" w:lineRule="auto"/>
        <w:ind w:left="840" w:hanging="840" w:hangingChars="350"/>
        <w:jc w:val="left"/>
        <w:rPr>
          <w:rFonts w:ascii="宋体" w:hAnsi="宋体"/>
          <w:color w:val="FF0000"/>
          <w:sz w:val="24"/>
        </w:rPr>
      </w:pPr>
      <w:r>
        <w:rPr>
          <w:rFonts w:hint="eastAsia" w:ascii="宋体" w:hAnsi="宋体"/>
          <w:sz w:val="24"/>
        </w:rPr>
        <w:t>28.1   如果被推荐的中标候选人被认为在本招标过程的竞争中有腐败和欺诈行为，则被拒绝授予合同。</w:t>
      </w:r>
    </w:p>
    <w:p>
      <w:pPr>
        <w:spacing w:before="120" w:line="360" w:lineRule="auto"/>
        <w:ind w:left="900" w:hanging="900"/>
        <w:rPr>
          <w:rFonts w:ascii="宋体" w:hAnsi="宋体"/>
          <w:sz w:val="24"/>
        </w:rPr>
      </w:pPr>
      <w:r>
        <w:rPr>
          <w:rFonts w:hint="eastAsia" w:ascii="宋体" w:hAnsi="宋体"/>
          <w:sz w:val="24"/>
        </w:rPr>
        <w:t>28.1.1 “腐败行为”是指通过提供、给予、接受、索取任何有价值的东西来影响招标人在招标过程中或合同实施过程中的行为；</w:t>
      </w:r>
    </w:p>
    <w:p>
      <w:pPr>
        <w:pStyle w:val="12"/>
        <w:spacing w:line="360" w:lineRule="auto"/>
        <w:ind w:left="840" w:hanging="840" w:hangingChars="350"/>
        <w:rPr>
          <w:rFonts w:hAnsi="宋体"/>
          <w:kern w:val="2"/>
          <w:szCs w:val="24"/>
        </w:rPr>
      </w:pPr>
      <w:r>
        <w:rPr>
          <w:rFonts w:hint="eastAsia" w:hAnsi="宋体"/>
          <w:kern w:val="2"/>
          <w:szCs w:val="24"/>
        </w:rPr>
        <w:t>28.1.2 “欺诈行为”是指为了影响招标过程或合同实施过程而谎报事实，损害招标人和公共利益，包括投标人之间串通投标（递交投标文件之前和之后），人为地使投标丧失竞争性，剥夺了招标人从竞争中所获得的利益。</w:t>
      </w:r>
    </w:p>
    <w:p>
      <w:pPr>
        <w:spacing w:before="120" w:line="360" w:lineRule="auto"/>
        <w:ind w:left="900" w:hanging="900"/>
        <w:rPr>
          <w:rFonts w:ascii="宋体" w:hAnsi="宋体"/>
          <w:sz w:val="24"/>
        </w:rPr>
      </w:pPr>
      <w:r>
        <w:rPr>
          <w:rFonts w:hint="eastAsia" w:ascii="宋体" w:hAnsi="宋体"/>
          <w:sz w:val="24"/>
        </w:rPr>
        <w:t>28.2   其他未尽事宜，参照政府采购法及其实施条例、现行的有关政府采购的规定进行处理。</w:t>
      </w:r>
    </w:p>
    <w:p>
      <w:pPr>
        <w:spacing w:line="360" w:lineRule="auto"/>
        <w:rPr>
          <w:rFonts w:ascii="宋体" w:hAnsi="宋体"/>
          <w:sz w:val="24"/>
        </w:rPr>
      </w:pPr>
    </w:p>
    <w:p>
      <w:pPr>
        <w:spacing w:line="360" w:lineRule="auto"/>
        <w:rPr>
          <w:rFonts w:ascii="宋体" w:hAnsi="宋体"/>
          <w:sz w:val="24"/>
        </w:rPr>
      </w:pPr>
    </w:p>
    <w:p>
      <w:pPr>
        <w:spacing w:line="360" w:lineRule="auto"/>
        <w:ind w:left="962" w:hanging="960"/>
        <w:jc w:val="center"/>
        <w:rPr>
          <w:rStyle w:val="44"/>
        </w:rPr>
      </w:pPr>
      <w:bookmarkStart w:id="176" w:name="_Toc22440"/>
      <w:r>
        <w:rPr>
          <w:rStyle w:val="44"/>
          <w:rFonts w:hint="eastAsia"/>
        </w:rPr>
        <w:br w:type="page"/>
      </w:r>
      <w:r>
        <w:rPr>
          <w:rStyle w:val="44"/>
          <w:rFonts w:hint="eastAsia"/>
        </w:rPr>
        <w:t>第三章   资格审查</w:t>
      </w:r>
    </w:p>
    <w:bookmarkEnd w:id="176"/>
    <w:p>
      <w:pPr>
        <w:pStyle w:val="5"/>
        <w:spacing w:line="360" w:lineRule="auto"/>
        <w:jc w:val="left"/>
        <w:rPr>
          <w:rFonts w:ascii="宋体" w:hAnsi="宋体" w:eastAsia="宋体" w:cs="宋体"/>
          <w:sz w:val="24"/>
          <w:szCs w:val="24"/>
        </w:rPr>
      </w:pPr>
      <w:bookmarkStart w:id="177" w:name="_Toc4090"/>
      <w:bookmarkStart w:id="178" w:name="_Toc29330"/>
      <w:r>
        <w:rPr>
          <w:rFonts w:hint="eastAsia" w:ascii="宋体" w:hAnsi="宋体" w:eastAsia="宋体" w:cs="宋体"/>
          <w:sz w:val="24"/>
          <w:szCs w:val="24"/>
        </w:rPr>
        <w:t>一、资格审查</w:t>
      </w:r>
      <w:bookmarkEnd w:id="177"/>
      <w:r>
        <w:rPr>
          <w:rFonts w:hint="eastAsia" w:ascii="宋体" w:hAnsi="宋体" w:eastAsia="宋体" w:cs="宋体"/>
          <w:sz w:val="24"/>
          <w:szCs w:val="24"/>
        </w:rPr>
        <w:t>程序</w:t>
      </w:r>
      <w:bookmarkEnd w:id="178"/>
    </w:p>
    <w:p>
      <w:pPr>
        <w:spacing w:line="360" w:lineRule="auto"/>
        <w:rPr>
          <w:rFonts w:ascii="宋体" w:hAnsi="宋体" w:cs="宋体"/>
          <w:sz w:val="24"/>
        </w:rPr>
      </w:pPr>
      <w:r>
        <w:rPr>
          <w:rFonts w:hint="eastAsia" w:ascii="宋体" w:hAnsi="宋体" w:cs="宋体"/>
          <w:sz w:val="24"/>
        </w:rPr>
        <w:t>1、开标结束后，采购代理机构将根据《资格审查要求》中的规定，对投标人进行资格审查，并形成资格审查结果。</w:t>
      </w:r>
    </w:p>
    <w:p>
      <w:pPr>
        <w:pStyle w:val="123"/>
        <w:spacing w:line="360" w:lineRule="auto"/>
        <w:ind w:firstLine="0" w:firstLineChars="0"/>
        <w:rPr>
          <w:rFonts w:ascii="宋体" w:hAnsi="宋体" w:cs="宋体"/>
          <w:sz w:val="24"/>
        </w:rPr>
      </w:pPr>
      <w:r>
        <w:rPr>
          <w:rFonts w:hint="eastAsia" w:ascii="宋体" w:hAnsi="宋体" w:cs="宋体"/>
          <w:sz w:val="24"/>
        </w:rPr>
        <w:t>2、招标文件中资格证明文件中对格式有要求的，</w:t>
      </w:r>
      <w:r>
        <w:rPr>
          <w:rFonts w:ascii="宋体" w:hAnsi="宋体"/>
          <w:sz w:val="24"/>
        </w:rPr>
        <w:t>除招标文件另有规定外，均为“实质性格式”文件。</w:t>
      </w:r>
    </w:p>
    <w:p>
      <w:pPr>
        <w:spacing w:line="360" w:lineRule="auto"/>
        <w:rPr>
          <w:rFonts w:ascii="宋体" w:hAnsi="宋体" w:cs="宋体"/>
          <w:sz w:val="24"/>
        </w:rPr>
      </w:pPr>
      <w:r>
        <w:rPr>
          <w:rFonts w:hint="eastAsia" w:ascii="宋体" w:hAnsi="宋体" w:cs="宋体"/>
          <w:sz w:val="24"/>
        </w:rPr>
        <w:t>3、投标人《资格证明文件》有任何一项不符合资格审查要求的，资格审查不合格，其</w:t>
      </w:r>
      <w:r>
        <w:rPr>
          <w:rFonts w:hint="eastAsia" w:ascii="宋体" w:hAnsi="宋体" w:cs="宋体"/>
          <w:b/>
          <w:bCs/>
          <w:sz w:val="24"/>
        </w:rPr>
        <w:t>投标无效</w:t>
      </w:r>
      <w:r>
        <w:rPr>
          <w:rFonts w:hint="eastAsia" w:ascii="宋体" w:hAnsi="宋体" w:cs="宋体"/>
          <w:sz w:val="24"/>
        </w:rPr>
        <w:t>。</w:t>
      </w:r>
    </w:p>
    <w:p>
      <w:pPr>
        <w:pStyle w:val="123"/>
        <w:spacing w:line="360" w:lineRule="auto"/>
        <w:ind w:firstLine="0" w:firstLineChars="0"/>
        <w:rPr>
          <w:rFonts w:ascii="宋体" w:hAnsi="宋体"/>
          <w:sz w:val="24"/>
        </w:rPr>
      </w:pPr>
      <w:r>
        <w:rPr>
          <w:rFonts w:hint="eastAsia" w:ascii="宋体" w:hAnsi="宋体" w:cs="宋体"/>
          <w:sz w:val="24"/>
        </w:rPr>
        <w:t>4、</w:t>
      </w:r>
      <w:r>
        <w:rPr>
          <w:rFonts w:hint="eastAsia" w:ascii="宋体" w:hAnsi="宋体"/>
          <w:sz w:val="24"/>
        </w:rPr>
        <w:t>投标人《资格证明文件》均应加盖投标人公章，</w:t>
      </w:r>
      <w:r>
        <w:rPr>
          <w:rFonts w:hint="eastAsia" w:ascii="宋体" w:hAnsi="宋体"/>
          <w:b/>
          <w:bCs/>
          <w:sz w:val="24"/>
        </w:rPr>
        <w:t>否则其投标无效。</w:t>
      </w:r>
    </w:p>
    <w:p>
      <w:pPr>
        <w:spacing w:line="360" w:lineRule="auto"/>
        <w:rPr>
          <w:rFonts w:ascii="宋体" w:hAnsi="宋体" w:cs="宋体"/>
          <w:sz w:val="24"/>
        </w:rPr>
      </w:pPr>
      <w:r>
        <w:rPr>
          <w:rFonts w:hint="eastAsia" w:ascii="宋体" w:hAnsi="宋体" w:cs="宋体"/>
          <w:sz w:val="24"/>
        </w:rPr>
        <w:t>5、资格审查合格的投标人不足3家的，不进行评标。</w:t>
      </w:r>
    </w:p>
    <w:p>
      <w:pPr>
        <w:pStyle w:val="5"/>
        <w:spacing w:line="360" w:lineRule="auto"/>
        <w:jc w:val="left"/>
        <w:rPr>
          <w:rFonts w:ascii="宋体" w:hAnsi="宋体" w:eastAsia="宋体" w:cs="宋体"/>
          <w:sz w:val="24"/>
          <w:szCs w:val="24"/>
        </w:rPr>
      </w:pPr>
      <w:bookmarkStart w:id="179" w:name="_Toc5954"/>
      <w:r>
        <w:rPr>
          <w:rFonts w:hint="eastAsia" w:ascii="宋体" w:hAnsi="宋体" w:eastAsia="宋体" w:cs="宋体"/>
          <w:sz w:val="24"/>
          <w:szCs w:val="24"/>
        </w:rPr>
        <w:t>二、资格审查要求</w:t>
      </w:r>
      <w:bookmarkEnd w:id="179"/>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518"/>
        <w:gridCol w:w="5150"/>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614" w:type="dxa"/>
            <w:vAlign w:val="center"/>
          </w:tcPr>
          <w:p>
            <w:pPr>
              <w:tabs>
                <w:tab w:val="left" w:pos="1080"/>
              </w:tabs>
              <w:snapToGrid w:val="0"/>
              <w:spacing w:line="360" w:lineRule="auto"/>
              <w:jc w:val="center"/>
              <w:rPr>
                <w:b/>
                <w:sz w:val="24"/>
              </w:rPr>
            </w:pPr>
            <w:r>
              <w:rPr>
                <w:b/>
                <w:sz w:val="24"/>
              </w:rPr>
              <w:t>序号</w:t>
            </w:r>
          </w:p>
        </w:tc>
        <w:tc>
          <w:tcPr>
            <w:tcW w:w="1518" w:type="dxa"/>
            <w:vAlign w:val="center"/>
          </w:tcPr>
          <w:p>
            <w:pPr>
              <w:tabs>
                <w:tab w:val="left" w:pos="1080"/>
              </w:tabs>
              <w:snapToGrid w:val="0"/>
              <w:spacing w:line="360" w:lineRule="auto"/>
              <w:jc w:val="center"/>
              <w:rPr>
                <w:b/>
                <w:sz w:val="24"/>
              </w:rPr>
            </w:pPr>
            <w:r>
              <w:rPr>
                <w:b/>
                <w:sz w:val="24"/>
              </w:rPr>
              <w:t>审查因素</w:t>
            </w:r>
          </w:p>
        </w:tc>
        <w:tc>
          <w:tcPr>
            <w:tcW w:w="5150" w:type="dxa"/>
            <w:vAlign w:val="center"/>
          </w:tcPr>
          <w:p>
            <w:pPr>
              <w:tabs>
                <w:tab w:val="left" w:pos="1080"/>
              </w:tabs>
              <w:snapToGrid w:val="0"/>
              <w:spacing w:line="360" w:lineRule="auto"/>
              <w:jc w:val="center"/>
              <w:rPr>
                <w:b/>
                <w:sz w:val="24"/>
              </w:rPr>
            </w:pPr>
            <w:r>
              <w:rPr>
                <w:b/>
                <w:sz w:val="24"/>
              </w:rPr>
              <w:t>审查内容</w:t>
            </w:r>
          </w:p>
        </w:tc>
        <w:tc>
          <w:tcPr>
            <w:tcW w:w="2006" w:type="dxa"/>
            <w:vAlign w:val="center"/>
          </w:tcPr>
          <w:p>
            <w:pPr>
              <w:tabs>
                <w:tab w:val="left" w:pos="1080"/>
              </w:tabs>
              <w:snapToGrid w:val="0"/>
              <w:spacing w:line="360" w:lineRule="auto"/>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sz w:val="24"/>
              </w:rPr>
              <w:t>1</w:t>
            </w:r>
          </w:p>
        </w:tc>
        <w:tc>
          <w:tcPr>
            <w:tcW w:w="1518" w:type="dxa"/>
            <w:vAlign w:val="center"/>
          </w:tcPr>
          <w:p>
            <w:pPr>
              <w:tabs>
                <w:tab w:val="left" w:pos="1080"/>
              </w:tabs>
              <w:snapToGrid w:val="0"/>
              <w:spacing w:line="360" w:lineRule="auto"/>
              <w:rPr>
                <w:sz w:val="24"/>
              </w:rPr>
            </w:pPr>
            <w:r>
              <w:rPr>
                <w:sz w:val="24"/>
              </w:rPr>
              <w:t>营业执照等证明文件</w:t>
            </w:r>
          </w:p>
        </w:tc>
        <w:tc>
          <w:tcPr>
            <w:tcW w:w="5150" w:type="dxa"/>
            <w:vAlign w:val="center"/>
          </w:tcPr>
          <w:p>
            <w:pPr>
              <w:tabs>
                <w:tab w:val="left" w:pos="1080"/>
              </w:tabs>
              <w:snapToGrid w:val="0"/>
              <w:spacing w:line="360" w:lineRule="auto"/>
              <w:rPr>
                <w:sz w:val="24"/>
              </w:rPr>
            </w:pPr>
            <w:r>
              <w:rPr>
                <w:sz w:val="24"/>
              </w:rPr>
              <w:t>投标人为企业（包括合伙企业）的，应提供有效的“营业执照”；</w:t>
            </w:r>
          </w:p>
          <w:p>
            <w:pPr>
              <w:tabs>
                <w:tab w:val="left" w:pos="1080"/>
              </w:tabs>
              <w:snapToGrid w:val="0"/>
              <w:spacing w:line="360" w:lineRule="auto"/>
              <w:rPr>
                <w:sz w:val="24"/>
              </w:rPr>
            </w:pPr>
            <w:r>
              <w:rPr>
                <w:sz w:val="24"/>
              </w:rPr>
              <w:t>投标人为事业单位的，应提供有效的“事业单位法人证书”；</w:t>
            </w:r>
          </w:p>
          <w:p>
            <w:pPr>
              <w:tabs>
                <w:tab w:val="left" w:pos="1080"/>
              </w:tabs>
              <w:snapToGrid w:val="0"/>
              <w:spacing w:line="360" w:lineRule="auto"/>
              <w:rPr>
                <w:sz w:val="24"/>
              </w:rPr>
            </w:pPr>
            <w:r>
              <w:rPr>
                <w:rFonts w:hint="eastAsia"/>
                <w:sz w:val="24"/>
              </w:rPr>
              <w:t>投标人是非企业机构的，应提供有效的“执业许可证”、“登记证书”等证明文件；</w:t>
            </w:r>
          </w:p>
          <w:p>
            <w:pPr>
              <w:tabs>
                <w:tab w:val="left" w:pos="1080"/>
              </w:tabs>
              <w:snapToGrid w:val="0"/>
              <w:spacing w:line="360" w:lineRule="auto"/>
              <w:rPr>
                <w:sz w:val="24"/>
              </w:rPr>
            </w:pPr>
            <w:r>
              <w:rPr>
                <w:sz w:val="24"/>
              </w:rPr>
              <w:t>投标人是个体工商户的，应提供有效的“个体工商户营业执照”；</w:t>
            </w:r>
          </w:p>
          <w:p>
            <w:pPr>
              <w:tabs>
                <w:tab w:val="left" w:pos="1080"/>
              </w:tabs>
              <w:snapToGrid w:val="0"/>
              <w:spacing w:line="360" w:lineRule="auto"/>
              <w:rPr>
                <w:sz w:val="24"/>
              </w:rPr>
            </w:pPr>
            <w:r>
              <w:rPr>
                <w:sz w:val="24"/>
              </w:rPr>
              <w:t>投标人是自然人的，应提供有效的自然人身份证明。</w:t>
            </w:r>
          </w:p>
          <w:p>
            <w:pPr>
              <w:tabs>
                <w:tab w:val="left" w:pos="1080"/>
              </w:tabs>
              <w:snapToGrid w:val="0"/>
              <w:spacing w:line="360" w:lineRule="auto"/>
              <w:rPr>
                <w:sz w:val="24"/>
              </w:rPr>
            </w:pPr>
            <w:r>
              <w:rPr>
                <w:rFonts w:hint="eastAsia"/>
                <w:sz w:val="24"/>
              </w:rPr>
              <w:t>若本项目允许分支机构参加投标，则分支机构参加投标的，此处可提供该分支机构或其所属法人或其他组织的相应证明文件。</w:t>
            </w:r>
          </w:p>
        </w:tc>
        <w:tc>
          <w:tcPr>
            <w:tcW w:w="2006" w:type="dxa"/>
            <w:vAlign w:val="center"/>
          </w:tcPr>
          <w:p>
            <w:pPr>
              <w:tabs>
                <w:tab w:val="left" w:pos="1080"/>
              </w:tabs>
              <w:snapToGrid w:val="0"/>
              <w:spacing w:line="360" w:lineRule="auto"/>
              <w:rPr>
                <w:sz w:val="24"/>
              </w:rPr>
            </w:pPr>
            <w:r>
              <w:rPr>
                <w:sz w:val="24"/>
              </w:rPr>
              <w:t>提供</w:t>
            </w:r>
            <w:r>
              <w:rPr>
                <w:rFonts w:hint="eastAsia"/>
                <w:sz w:val="24"/>
              </w:rPr>
              <w:t>相关证件复印件并加盖公章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sz w:val="24"/>
              </w:rPr>
              <w:t>2</w:t>
            </w:r>
          </w:p>
        </w:tc>
        <w:tc>
          <w:tcPr>
            <w:tcW w:w="1518" w:type="dxa"/>
            <w:vAlign w:val="center"/>
          </w:tcPr>
          <w:p>
            <w:pPr>
              <w:tabs>
                <w:tab w:val="left" w:pos="1080"/>
              </w:tabs>
              <w:snapToGrid w:val="0"/>
              <w:spacing w:line="360" w:lineRule="auto"/>
              <w:rPr>
                <w:sz w:val="24"/>
              </w:rPr>
            </w:pPr>
            <w:bookmarkStart w:id="180" w:name="_Hlk101340464"/>
            <w:r>
              <w:rPr>
                <w:rFonts w:hint="eastAsia"/>
                <w:sz w:val="24"/>
              </w:rPr>
              <w:t>授权委托书</w:t>
            </w:r>
            <w:bookmarkEnd w:id="180"/>
          </w:p>
        </w:tc>
        <w:tc>
          <w:tcPr>
            <w:tcW w:w="5150" w:type="dxa"/>
            <w:vAlign w:val="center"/>
          </w:tcPr>
          <w:p>
            <w:pPr>
              <w:tabs>
                <w:tab w:val="left" w:pos="1080"/>
              </w:tabs>
              <w:snapToGrid w:val="0"/>
              <w:spacing w:line="360" w:lineRule="auto"/>
              <w:rPr>
                <w:sz w:val="24"/>
              </w:rPr>
            </w:pPr>
            <w:r>
              <w:rPr>
                <w:rFonts w:hint="eastAsia"/>
                <w:sz w:val="24"/>
              </w:rPr>
              <w:t>法定代表人本人参与投标的需提供法定代表人身份证明书；非法定代表人本人参与投标的，需提供法定代表人委托授权书</w:t>
            </w:r>
          </w:p>
        </w:tc>
        <w:tc>
          <w:tcPr>
            <w:tcW w:w="2006" w:type="dxa"/>
            <w:vAlign w:val="center"/>
          </w:tcPr>
          <w:p>
            <w:pPr>
              <w:tabs>
                <w:tab w:val="left" w:pos="1080"/>
              </w:tabs>
              <w:snapToGrid w:val="0"/>
              <w:spacing w:line="360" w:lineRule="auto"/>
              <w:rPr>
                <w:sz w:val="24"/>
              </w:rPr>
            </w:pPr>
            <w:r>
              <w:rPr>
                <w:sz w:val="24"/>
              </w:rPr>
              <w:t>格式见</w:t>
            </w:r>
            <w:r>
              <w:rPr>
                <w:rFonts w:hint="eastAsia"/>
                <w:sz w:val="24"/>
              </w:rPr>
              <w:t>第七章</w:t>
            </w:r>
            <w:r>
              <w:rPr>
                <w:sz w:val="24"/>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sz w:val="24"/>
              </w:rPr>
              <w:t>3</w:t>
            </w:r>
          </w:p>
        </w:tc>
        <w:tc>
          <w:tcPr>
            <w:tcW w:w="1518" w:type="dxa"/>
            <w:vAlign w:val="center"/>
          </w:tcPr>
          <w:p>
            <w:pPr>
              <w:tabs>
                <w:tab w:val="left" w:pos="1080"/>
              </w:tabs>
              <w:snapToGrid w:val="0"/>
              <w:spacing w:line="360" w:lineRule="auto"/>
              <w:rPr>
                <w:sz w:val="24"/>
              </w:rPr>
            </w:pPr>
            <w:r>
              <w:rPr>
                <w:sz w:val="24"/>
              </w:rPr>
              <w:t>投标人资格声明</w:t>
            </w:r>
          </w:p>
        </w:tc>
        <w:tc>
          <w:tcPr>
            <w:tcW w:w="5150" w:type="dxa"/>
            <w:vAlign w:val="center"/>
          </w:tcPr>
          <w:p>
            <w:pPr>
              <w:tabs>
                <w:tab w:val="left" w:pos="1080"/>
              </w:tabs>
              <w:snapToGrid w:val="0"/>
              <w:spacing w:line="360" w:lineRule="auto"/>
              <w:rPr>
                <w:sz w:val="24"/>
              </w:rPr>
            </w:pPr>
            <w:r>
              <w:rPr>
                <w:sz w:val="24"/>
              </w:rPr>
              <w:t>提供了符合招标文件要求的投标人资格声明。</w:t>
            </w:r>
          </w:p>
        </w:tc>
        <w:tc>
          <w:tcPr>
            <w:tcW w:w="2006" w:type="dxa"/>
            <w:vAlign w:val="center"/>
          </w:tcPr>
          <w:p>
            <w:pPr>
              <w:tabs>
                <w:tab w:val="left" w:pos="1080"/>
              </w:tabs>
              <w:snapToGrid w:val="0"/>
              <w:spacing w:line="360" w:lineRule="auto"/>
              <w:rPr>
                <w:sz w:val="24"/>
              </w:rPr>
            </w:pPr>
            <w:r>
              <w:rPr>
                <w:sz w:val="24"/>
              </w:rPr>
              <w:t>格式见</w:t>
            </w:r>
            <w:r>
              <w:rPr>
                <w:rFonts w:hint="eastAsia"/>
                <w:sz w:val="24"/>
              </w:rPr>
              <w:t>第七章</w:t>
            </w:r>
            <w:r>
              <w:rPr>
                <w:sz w:val="24"/>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4</w:t>
            </w:r>
          </w:p>
        </w:tc>
        <w:tc>
          <w:tcPr>
            <w:tcW w:w="1518" w:type="dxa"/>
            <w:vAlign w:val="center"/>
          </w:tcPr>
          <w:p>
            <w:pPr>
              <w:tabs>
                <w:tab w:val="left" w:pos="1080"/>
              </w:tabs>
              <w:snapToGrid w:val="0"/>
              <w:spacing w:line="360" w:lineRule="auto"/>
              <w:rPr>
                <w:sz w:val="24"/>
              </w:rPr>
            </w:pPr>
            <w:r>
              <w:rPr>
                <w:rFonts w:hint="eastAsia"/>
                <w:sz w:val="24"/>
              </w:rPr>
              <w:t>纳税证明</w:t>
            </w:r>
          </w:p>
        </w:tc>
        <w:tc>
          <w:tcPr>
            <w:tcW w:w="5150" w:type="dxa"/>
            <w:vAlign w:val="center"/>
          </w:tcPr>
          <w:p>
            <w:pPr>
              <w:tabs>
                <w:tab w:val="left" w:pos="1080"/>
              </w:tabs>
              <w:snapToGrid w:val="0"/>
              <w:spacing w:line="360" w:lineRule="auto"/>
              <w:rPr>
                <w:sz w:val="24"/>
              </w:rPr>
            </w:pPr>
            <w:r>
              <w:rPr>
                <w:rFonts w:hint="eastAsia"/>
                <w:sz w:val="24"/>
              </w:rPr>
              <w:t>提供了符合招标文件要求的纳税证明</w:t>
            </w:r>
          </w:p>
        </w:tc>
        <w:tc>
          <w:tcPr>
            <w:tcW w:w="2006" w:type="dxa"/>
            <w:vAlign w:val="center"/>
          </w:tcPr>
          <w:p>
            <w:pPr>
              <w:tabs>
                <w:tab w:val="left" w:pos="1080"/>
              </w:tabs>
              <w:snapToGrid w:val="0"/>
              <w:spacing w:line="360" w:lineRule="auto"/>
              <w:rPr>
                <w:sz w:val="24"/>
              </w:rPr>
            </w:pPr>
            <w:r>
              <w:rPr>
                <w:rFonts w:hint="eastAsia"/>
                <w:sz w:val="24"/>
              </w:rPr>
              <w:t>要求</w:t>
            </w:r>
            <w:r>
              <w:rPr>
                <w:sz w:val="24"/>
              </w:rPr>
              <w:t>见</w:t>
            </w:r>
            <w:r>
              <w:rPr>
                <w:rFonts w:hint="eastAsia"/>
                <w:sz w:val="24"/>
              </w:rPr>
              <w:t>第七章</w:t>
            </w:r>
            <w:r>
              <w:rPr>
                <w:sz w:val="24"/>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5</w:t>
            </w:r>
          </w:p>
        </w:tc>
        <w:tc>
          <w:tcPr>
            <w:tcW w:w="1518" w:type="dxa"/>
            <w:vAlign w:val="center"/>
          </w:tcPr>
          <w:p>
            <w:pPr>
              <w:tabs>
                <w:tab w:val="left" w:pos="1080"/>
              </w:tabs>
              <w:snapToGrid w:val="0"/>
              <w:spacing w:line="360" w:lineRule="auto"/>
              <w:rPr>
                <w:sz w:val="24"/>
              </w:rPr>
            </w:pPr>
            <w:r>
              <w:rPr>
                <w:rFonts w:hint="eastAsia"/>
                <w:sz w:val="24"/>
              </w:rPr>
              <w:t>投标人的财务状况报告</w:t>
            </w:r>
          </w:p>
        </w:tc>
        <w:tc>
          <w:tcPr>
            <w:tcW w:w="5150" w:type="dxa"/>
            <w:vAlign w:val="center"/>
          </w:tcPr>
          <w:p>
            <w:pPr>
              <w:tabs>
                <w:tab w:val="left" w:pos="1080"/>
              </w:tabs>
              <w:snapToGrid w:val="0"/>
              <w:spacing w:line="360" w:lineRule="auto"/>
              <w:rPr>
                <w:sz w:val="24"/>
              </w:rPr>
            </w:pPr>
            <w:r>
              <w:rPr>
                <w:rFonts w:hint="eastAsia"/>
                <w:sz w:val="24"/>
              </w:rPr>
              <w:t>提供了符合招标文件要求的财务状况报告</w:t>
            </w:r>
          </w:p>
        </w:tc>
        <w:tc>
          <w:tcPr>
            <w:tcW w:w="2006" w:type="dxa"/>
            <w:vAlign w:val="center"/>
          </w:tcPr>
          <w:p>
            <w:pPr>
              <w:tabs>
                <w:tab w:val="left" w:pos="1080"/>
              </w:tabs>
              <w:snapToGrid w:val="0"/>
              <w:spacing w:line="360" w:lineRule="auto"/>
              <w:rPr>
                <w:sz w:val="24"/>
              </w:rPr>
            </w:pPr>
            <w:r>
              <w:rPr>
                <w:rFonts w:hint="eastAsia"/>
                <w:sz w:val="24"/>
              </w:rPr>
              <w:t>要求</w:t>
            </w:r>
            <w:r>
              <w:rPr>
                <w:sz w:val="24"/>
              </w:rPr>
              <w:t>见</w:t>
            </w:r>
            <w:r>
              <w:rPr>
                <w:rFonts w:hint="eastAsia"/>
                <w:sz w:val="24"/>
              </w:rPr>
              <w:t>第七章</w:t>
            </w:r>
            <w:r>
              <w:rPr>
                <w:sz w:val="24"/>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6</w:t>
            </w:r>
          </w:p>
        </w:tc>
        <w:tc>
          <w:tcPr>
            <w:tcW w:w="1518" w:type="dxa"/>
            <w:vAlign w:val="center"/>
          </w:tcPr>
          <w:p>
            <w:pPr>
              <w:tabs>
                <w:tab w:val="left" w:pos="1080"/>
              </w:tabs>
              <w:snapToGrid w:val="0"/>
              <w:spacing w:line="360" w:lineRule="auto"/>
              <w:rPr>
                <w:sz w:val="24"/>
              </w:rPr>
            </w:pPr>
            <w:r>
              <w:rPr>
                <w:rFonts w:hint="eastAsia"/>
                <w:sz w:val="24"/>
              </w:rPr>
              <w:t>社会保障资金缴纳记录</w:t>
            </w:r>
          </w:p>
        </w:tc>
        <w:tc>
          <w:tcPr>
            <w:tcW w:w="5150" w:type="dxa"/>
            <w:vAlign w:val="center"/>
          </w:tcPr>
          <w:p>
            <w:pPr>
              <w:tabs>
                <w:tab w:val="left" w:pos="1080"/>
              </w:tabs>
              <w:snapToGrid w:val="0"/>
              <w:spacing w:line="360" w:lineRule="auto"/>
              <w:rPr>
                <w:sz w:val="24"/>
              </w:rPr>
            </w:pPr>
            <w:r>
              <w:rPr>
                <w:rFonts w:hint="eastAsia"/>
                <w:sz w:val="24"/>
              </w:rPr>
              <w:t>提供了符合招标文件要求的社会保障资金缴纳记录</w:t>
            </w:r>
          </w:p>
        </w:tc>
        <w:tc>
          <w:tcPr>
            <w:tcW w:w="2006" w:type="dxa"/>
            <w:vAlign w:val="center"/>
          </w:tcPr>
          <w:p>
            <w:pPr>
              <w:tabs>
                <w:tab w:val="left" w:pos="1080"/>
              </w:tabs>
              <w:snapToGrid w:val="0"/>
              <w:spacing w:line="360" w:lineRule="auto"/>
              <w:rPr>
                <w:sz w:val="24"/>
              </w:rPr>
            </w:pPr>
            <w:r>
              <w:rPr>
                <w:rFonts w:hint="eastAsia"/>
                <w:sz w:val="24"/>
              </w:rPr>
              <w:t>要求</w:t>
            </w:r>
            <w:r>
              <w:rPr>
                <w:sz w:val="24"/>
              </w:rPr>
              <w:t>见</w:t>
            </w:r>
            <w:r>
              <w:rPr>
                <w:rFonts w:hint="eastAsia"/>
                <w:sz w:val="24"/>
              </w:rPr>
              <w:t>第七章</w:t>
            </w:r>
            <w:r>
              <w:rPr>
                <w:sz w:val="24"/>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7</w:t>
            </w:r>
          </w:p>
        </w:tc>
        <w:tc>
          <w:tcPr>
            <w:tcW w:w="1518" w:type="dxa"/>
            <w:vAlign w:val="center"/>
          </w:tcPr>
          <w:p>
            <w:pPr>
              <w:tabs>
                <w:tab w:val="left" w:pos="1080"/>
              </w:tabs>
              <w:snapToGrid w:val="0"/>
              <w:spacing w:line="360" w:lineRule="auto"/>
              <w:rPr>
                <w:sz w:val="24"/>
              </w:rPr>
            </w:pPr>
            <w:r>
              <w:rPr>
                <w:sz w:val="24"/>
              </w:rPr>
              <w:t>制造</w:t>
            </w:r>
            <w:r>
              <w:rPr>
                <w:rFonts w:hint="eastAsia"/>
                <w:sz w:val="24"/>
              </w:rPr>
              <w:t>厂家</w:t>
            </w:r>
            <w:r>
              <w:rPr>
                <w:sz w:val="24"/>
              </w:rPr>
              <w:t>授权书</w:t>
            </w:r>
          </w:p>
        </w:tc>
        <w:tc>
          <w:tcPr>
            <w:tcW w:w="5150" w:type="dxa"/>
            <w:vAlign w:val="center"/>
          </w:tcPr>
          <w:p>
            <w:pPr>
              <w:tabs>
                <w:tab w:val="left" w:pos="1080"/>
              </w:tabs>
              <w:snapToGrid w:val="0"/>
              <w:spacing w:line="360" w:lineRule="auto"/>
              <w:rPr>
                <w:sz w:val="24"/>
              </w:rPr>
            </w:pPr>
            <w:r>
              <w:rPr>
                <w:rFonts w:hint="eastAsia"/>
                <w:sz w:val="24"/>
              </w:rPr>
              <w:t>第五章明确要求提供制造厂家授权的必须提供授权书，其它情况不是必须提供</w:t>
            </w:r>
          </w:p>
        </w:tc>
        <w:tc>
          <w:tcPr>
            <w:tcW w:w="2006" w:type="dxa"/>
            <w:vAlign w:val="center"/>
          </w:tcPr>
          <w:p>
            <w:pPr>
              <w:tabs>
                <w:tab w:val="left" w:pos="1080"/>
              </w:tabs>
              <w:snapToGrid w:val="0"/>
              <w:spacing w:line="360" w:lineRule="auto"/>
              <w:rPr>
                <w:sz w:val="24"/>
              </w:rPr>
            </w:pPr>
            <w:r>
              <w:rPr>
                <w:sz w:val="24"/>
              </w:rPr>
              <w:t>格式见</w:t>
            </w:r>
            <w:r>
              <w:rPr>
                <w:rFonts w:hint="eastAsia"/>
                <w:sz w:val="24"/>
              </w:rPr>
              <w:t>第七章</w:t>
            </w:r>
            <w:r>
              <w:rPr>
                <w:sz w:val="24"/>
              </w:rPr>
              <w:t>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8</w:t>
            </w:r>
          </w:p>
        </w:tc>
        <w:tc>
          <w:tcPr>
            <w:tcW w:w="1518" w:type="dxa"/>
            <w:vAlign w:val="center"/>
          </w:tcPr>
          <w:p>
            <w:pPr>
              <w:tabs>
                <w:tab w:val="left" w:pos="1080"/>
              </w:tabs>
              <w:snapToGrid w:val="0"/>
              <w:spacing w:line="360" w:lineRule="auto"/>
              <w:rPr>
                <w:sz w:val="24"/>
              </w:rPr>
            </w:pPr>
            <w:r>
              <w:rPr>
                <w:sz w:val="24"/>
              </w:rPr>
              <w:t>是否接受联合体投标</w:t>
            </w:r>
          </w:p>
        </w:tc>
        <w:tc>
          <w:tcPr>
            <w:tcW w:w="5150" w:type="dxa"/>
            <w:vAlign w:val="center"/>
          </w:tcPr>
          <w:p>
            <w:pPr>
              <w:tabs>
                <w:tab w:val="left" w:pos="1080"/>
              </w:tabs>
              <w:snapToGrid w:val="0"/>
              <w:spacing w:line="360" w:lineRule="auto"/>
              <w:rPr>
                <w:sz w:val="24"/>
              </w:rPr>
            </w:pPr>
            <w:r>
              <w:rPr>
                <w:rFonts w:hint="eastAsia"/>
                <w:sz w:val="24"/>
              </w:rPr>
              <w:t>1.若</w:t>
            </w:r>
            <w:r>
              <w:rPr>
                <w:sz w:val="24"/>
              </w:rPr>
              <w:t>本项目接受联合体投标</w:t>
            </w:r>
            <w:r>
              <w:rPr>
                <w:rFonts w:hint="eastAsia"/>
                <w:sz w:val="24"/>
              </w:rPr>
              <w:t>：</w:t>
            </w:r>
          </w:p>
          <w:p>
            <w:pPr>
              <w:tabs>
                <w:tab w:val="left" w:pos="1080"/>
              </w:tabs>
              <w:snapToGrid w:val="0"/>
              <w:spacing w:line="360" w:lineRule="auto"/>
              <w:rPr>
                <w:sz w:val="24"/>
              </w:rPr>
            </w:pPr>
            <w:r>
              <w:rPr>
                <w:sz w:val="24"/>
              </w:rPr>
              <w:t>1</w:t>
            </w:r>
            <w:r>
              <w:rPr>
                <w:rFonts w:hint="eastAsia"/>
                <w:sz w:val="24"/>
              </w:rPr>
              <w:t>.1针对联合体投标人，</w:t>
            </w:r>
            <w:r>
              <w:rPr>
                <w:sz w:val="24"/>
              </w:rPr>
              <w:t>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pPr>
              <w:tabs>
                <w:tab w:val="left" w:pos="1080"/>
              </w:tabs>
              <w:snapToGrid w:val="0"/>
              <w:spacing w:line="360" w:lineRule="auto"/>
              <w:rPr>
                <w:sz w:val="24"/>
              </w:rPr>
            </w:pPr>
            <w:r>
              <w:rPr>
                <w:rFonts w:hint="eastAsia"/>
                <w:sz w:val="24"/>
              </w:rPr>
              <w:t>1.</w:t>
            </w:r>
            <w:r>
              <w:rPr>
                <w:sz w:val="24"/>
              </w:rPr>
              <w:t>2</w:t>
            </w:r>
            <w:r>
              <w:rPr>
                <w:rFonts w:hint="eastAsia"/>
                <w:sz w:val="24"/>
              </w:rPr>
              <w:t>联合体各成员单位均须提供本表中序号1-6的证明文件。</w:t>
            </w:r>
          </w:p>
          <w:p>
            <w:pPr>
              <w:tabs>
                <w:tab w:val="left" w:pos="1080"/>
              </w:tabs>
              <w:snapToGrid w:val="0"/>
              <w:spacing w:line="360" w:lineRule="auto"/>
              <w:rPr>
                <w:sz w:val="24"/>
              </w:rPr>
            </w:pPr>
            <w:r>
              <w:rPr>
                <w:rFonts w:hint="eastAsia"/>
                <w:sz w:val="24"/>
              </w:rPr>
              <w:t>1.3本表序号9项规定的其他特定资格要求中的每一小项要求，联合体各方中至少应当有一方符合本表中其他资格要求并提供证明文件。</w:t>
            </w:r>
          </w:p>
          <w:p>
            <w:pPr>
              <w:tabs>
                <w:tab w:val="left" w:pos="1080"/>
              </w:tabs>
              <w:snapToGrid w:val="0"/>
              <w:spacing w:line="360" w:lineRule="auto"/>
              <w:rPr>
                <w:sz w:val="24"/>
              </w:rPr>
            </w:pPr>
            <w:r>
              <w:rPr>
                <w:rFonts w:hint="eastAsia"/>
                <w:sz w:val="24"/>
              </w:rPr>
              <w:t>1.4</w:t>
            </w:r>
            <w:r>
              <w:rPr>
                <w:sz w:val="24"/>
              </w:rPr>
              <w:t>联合体中有同类资质的供应商按照联合体分工承担相同工作的，应当按照资质等级较低的供应商确定资质等级。</w:t>
            </w:r>
          </w:p>
          <w:p>
            <w:pPr>
              <w:tabs>
                <w:tab w:val="left" w:pos="1080"/>
              </w:tabs>
              <w:snapToGrid w:val="0"/>
              <w:spacing w:line="360" w:lineRule="auto"/>
              <w:rPr>
                <w:sz w:val="24"/>
              </w:rPr>
            </w:pPr>
            <w:r>
              <w:rPr>
                <w:rFonts w:hint="eastAsia"/>
                <w:sz w:val="24"/>
              </w:rPr>
              <w:t>1.</w:t>
            </w:r>
            <w:r>
              <w:rPr>
                <w:sz w:val="24"/>
              </w:rPr>
              <w:t>5以联合体形式参加采购活动的，联合体各方不得再单独参加或者与其他供应商另外组成联合体参加同一合同项下的采购活动。</w:t>
            </w:r>
          </w:p>
          <w:p>
            <w:pPr>
              <w:tabs>
                <w:tab w:val="left" w:pos="1080"/>
              </w:tabs>
              <w:snapToGrid w:val="0"/>
              <w:spacing w:line="360" w:lineRule="auto"/>
              <w:rPr>
                <w:sz w:val="24"/>
              </w:rPr>
            </w:pPr>
            <w:r>
              <w:rPr>
                <w:rFonts w:hint="eastAsia"/>
                <w:sz w:val="24"/>
              </w:rPr>
              <w:t>1.</w:t>
            </w:r>
            <w:r>
              <w:rPr>
                <w:sz w:val="24"/>
              </w:rPr>
              <w:t>6若联合体中任一成员单位中途退出，则该联合体的</w:t>
            </w:r>
            <w:r>
              <w:rPr>
                <w:b/>
                <w:sz w:val="24"/>
              </w:rPr>
              <w:t>投标无效</w:t>
            </w:r>
            <w:r>
              <w:rPr>
                <w:sz w:val="24"/>
              </w:rPr>
              <w:t>。</w:t>
            </w:r>
          </w:p>
          <w:p>
            <w:pPr>
              <w:tabs>
                <w:tab w:val="left" w:pos="1080"/>
              </w:tabs>
              <w:snapToGrid w:val="0"/>
              <w:spacing w:line="360" w:lineRule="auto"/>
              <w:rPr>
                <w:sz w:val="24"/>
              </w:rPr>
            </w:pPr>
            <w:r>
              <w:rPr>
                <w:rFonts w:hint="eastAsia"/>
                <w:sz w:val="24"/>
              </w:rPr>
              <w:t>2.若</w:t>
            </w:r>
            <w:r>
              <w:rPr>
                <w:sz w:val="24"/>
              </w:rPr>
              <w:t>本项目不接受联合体投标，</w:t>
            </w:r>
            <w:r>
              <w:rPr>
                <w:rFonts w:hint="eastAsia"/>
                <w:sz w:val="24"/>
              </w:rPr>
              <w:t>投标人不得为联合体，否则将被认定</w:t>
            </w:r>
            <w:r>
              <w:rPr>
                <w:rFonts w:hint="eastAsia"/>
                <w:b/>
                <w:bCs/>
                <w:sz w:val="24"/>
              </w:rPr>
              <w:t>投标无效</w:t>
            </w:r>
            <w:r>
              <w:rPr>
                <w:rFonts w:hint="eastAsia"/>
                <w:sz w:val="24"/>
              </w:rPr>
              <w:t>。</w:t>
            </w:r>
          </w:p>
        </w:tc>
        <w:tc>
          <w:tcPr>
            <w:tcW w:w="2006" w:type="dxa"/>
            <w:vAlign w:val="center"/>
          </w:tcPr>
          <w:p>
            <w:pPr>
              <w:tabs>
                <w:tab w:val="left" w:pos="1080"/>
              </w:tabs>
              <w:snapToGrid w:val="0"/>
              <w:spacing w:line="360" w:lineRule="auto"/>
              <w:rPr>
                <w:sz w:val="24"/>
              </w:rPr>
            </w:pPr>
            <w:r>
              <w:rPr>
                <w:sz w:val="24"/>
              </w:rPr>
              <w:t>提供《联合协议》</w:t>
            </w:r>
            <w:r>
              <w:rPr>
                <w:rFonts w:hint="eastAsia"/>
                <w:sz w:val="24"/>
              </w:rPr>
              <w:t>原</w:t>
            </w:r>
            <w:r>
              <w:rPr>
                <w:sz w:val="24"/>
              </w:rPr>
              <w:t>件</w:t>
            </w:r>
            <w:r>
              <w:rPr>
                <w:rFonts w:hint="eastAsia"/>
                <w:sz w:val="24"/>
              </w:rPr>
              <w:t>，格式见第七章投标文件格式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9</w:t>
            </w:r>
          </w:p>
        </w:tc>
        <w:tc>
          <w:tcPr>
            <w:tcW w:w="1518" w:type="dxa"/>
            <w:vAlign w:val="center"/>
          </w:tcPr>
          <w:p>
            <w:pPr>
              <w:tabs>
                <w:tab w:val="left" w:pos="1080"/>
              </w:tabs>
              <w:snapToGrid w:val="0"/>
              <w:spacing w:line="360" w:lineRule="auto"/>
              <w:rPr>
                <w:sz w:val="24"/>
              </w:rPr>
            </w:pPr>
            <w:r>
              <w:rPr>
                <w:sz w:val="24"/>
              </w:rPr>
              <w:t>其他特定资格要求</w:t>
            </w:r>
          </w:p>
        </w:tc>
        <w:tc>
          <w:tcPr>
            <w:tcW w:w="5150" w:type="dxa"/>
            <w:vAlign w:val="center"/>
          </w:tcPr>
          <w:p>
            <w:pPr>
              <w:tabs>
                <w:tab w:val="left" w:pos="1080"/>
              </w:tabs>
              <w:snapToGrid w:val="0"/>
              <w:spacing w:line="360" w:lineRule="auto"/>
              <w:rPr>
                <w:sz w:val="24"/>
              </w:rPr>
            </w:pPr>
            <w:r>
              <w:rPr>
                <w:color w:val="000000"/>
                <w:sz w:val="24"/>
              </w:rPr>
              <w:t>如有，见</w:t>
            </w:r>
            <w:r>
              <w:rPr>
                <w:sz w:val="24"/>
              </w:rPr>
              <w:t>第一章《投标邀请》</w:t>
            </w:r>
          </w:p>
        </w:tc>
        <w:tc>
          <w:tcPr>
            <w:tcW w:w="2006" w:type="dxa"/>
            <w:vAlign w:val="center"/>
          </w:tcPr>
          <w:p>
            <w:pPr>
              <w:tabs>
                <w:tab w:val="left" w:pos="1080"/>
              </w:tabs>
              <w:snapToGrid w:val="0"/>
              <w:spacing w:line="360" w:lineRule="auto"/>
              <w:rPr>
                <w:sz w:val="24"/>
              </w:rPr>
            </w:pPr>
            <w:r>
              <w:rPr>
                <w:sz w:val="24"/>
              </w:rPr>
              <w:t>提供</w:t>
            </w:r>
            <w:r>
              <w:rPr>
                <w:rFonts w:hint="eastAsia"/>
                <w:sz w:val="24"/>
              </w:rPr>
              <w:t>相关证件复印件并加盖公章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spacing w:line="360" w:lineRule="auto"/>
              <w:jc w:val="center"/>
              <w:rPr>
                <w:sz w:val="24"/>
              </w:rPr>
            </w:pPr>
            <w:r>
              <w:rPr>
                <w:rFonts w:hint="eastAsia"/>
                <w:sz w:val="24"/>
              </w:rPr>
              <w:t>10</w:t>
            </w:r>
          </w:p>
        </w:tc>
        <w:tc>
          <w:tcPr>
            <w:tcW w:w="1518" w:type="dxa"/>
            <w:vAlign w:val="center"/>
          </w:tcPr>
          <w:p>
            <w:pPr>
              <w:tabs>
                <w:tab w:val="left" w:pos="1080"/>
              </w:tabs>
              <w:snapToGrid w:val="0"/>
              <w:spacing w:line="360" w:lineRule="auto"/>
              <w:rPr>
                <w:sz w:val="24"/>
              </w:rPr>
            </w:pPr>
            <w:r>
              <w:rPr>
                <w:sz w:val="24"/>
              </w:rPr>
              <w:t>投标人信用记录</w:t>
            </w:r>
          </w:p>
        </w:tc>
        <w:tc>
          <w:tcPr>
            <w:tcW w:w="5150" w:type="dxa"/>
            <w:vAlign w:val="center"/>
          </w:tcPr>
          <w:p>
            <w:pPr>
              <w:tabs>
                <w:tab w:val="left" w:pos="1080"/>
              </w:tabs>
              <w:snapToGrid w:val="0"/>
              <w:spacing w:line="360" w:lineRule="auto"/>
              <w:rPr>
                <w:sz w:val="24"/>
              </w:rPr>
            </w:pPr>
            <w:r>
              <w:rPr>
                <w:sz w:val="24"/>
              </w:rPr>
              <w:t>查询渠道：信用中国网站和中国政府采购网</w:t>
            </w:r>
            <w:r>
              <w:rPr>
                <w:rFonts w:hint="eastAsia"/>
                <w:sz w:val="24"/>
              </w:rPr>
              <w:t>(</w:t>
            </w:r>
            <w:r>
              <w:rPr>
                <w:sz w:val="24"/>
              </w:rPr>
              <w:t>www.creditchina.gov.cn、www.ccgp.gov.cn）；</w:t>
            </w:r>
          </w:p>
          <w:p>
            <w:pPr>
              <w:tabs>
                <w:tab w:val="left" w:pos="900"/>
                <w:tab w:val="left" w:pos="1980"/>
              </w:tabs>
              <w:snapToGrid w:val="0"/>
              <w:spacing w:line="360" w:lineRule="auto"/>
              <w:rPr>
                <w:sz w:val="24"/>
              </w:rPr>
            </w:pPr>
            <w:r>
              <w:rPr>
                <w:sz w:val="24"/>
              </w:rPr>
              <w:t>截止时点：投标截止时间以后、</w:t>
            </w:r>
            <w:r>
              <w:rPr>
                <w:rFonts w:hint="eastAsia"/>
                <w:sz w:val="24"/>
              </w:rPr>
              <w:t>资格审查阶段采购人或</w:t>
            </w:r>
            <w:r>
              <w:rPr>
                <w:sz w:val="24"/>
              </w:rPr>
              <w:t>采购代理机构的实际查询时间；</w:t>
            </w:r>
          </w:p>
          <w:p>
            <w:pPr>
              <w:tabs>
                <w:tab w:val="left" w:pos="900"/>
                <w:tab w:val="left" w:pos="1980"/>
              </w:tabs>
              <w:snapToGrid w:val="0"/>
              <w:spacing w:line="360" w:lineRule="auto"/>
              <w:rPr>
                <w:sz w:val="24"/>
              </w:rPr>
            </w:pPr>
            <w:r>
              <w:rPr>
                <w:sz w:val="24"/>
              </w:rPr>
              <w:t>信用信息查询记录和证据留存具体方式：查询结果网页打印页作为查询记录和证据，与其他采购文件一并保存；</w:t>
            </w:r>
          </w:p>
          <w:p>
            <w:pPr>
              <w:tabs>
                <w:tab w:val="left" w:pos="1080"/>
              </w:tabs>
              <w:snapToGrid w:val="0"/>
              <w:spacing w:line="360" w:lineRule="auto"/>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2006" w:type="dxa"/>
            <w:vAlign w:val="center"/>
          </w:tcPr>
          <w:p>
            <w:pPr>
              <w:tabs>
                <w:tab w:val="left" w:pos="1080"/>
              </w:tabs>
              <w:snapToGrid w:val="0"/>
              <w:spacing w:line="360" w:lineRule="auto"/>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jc w:val="center"/>
              <w:rPr>
                <w:sz w:val="24"/>
              </w:rPr>
            </w:pPr>
            <w:r>
              <w:rPr>
                <w:rFonts w:hint="eastAsia"/>
                <w:sz w:val="24"/>
              </w:rPr>
              <w:t>11</w:t>
            </w:r>
          </w:p>
        </w:tc>
        <w:tc>
          <w:tcPr>
            <w:tcW w:w="1518" w:type="dxa"/>
            <w:vAlign w:val="center"/>
          </w:tcPr>
          <w:p>
            <w:pPr>
              <w:tabs>
                <w:tab w:val="left" w:pos="1080"/>
              </w:tabs>
              <w:snapToGrid w:val="0"/>
              <w:rPr>
                <w:sz w:val="24"/>
              </w:rPr>
            </w:pPr>
            <w:r>
              <w:rPr>
                <w:rFonts w:hint="eastAsia"/>
                <w:sz w:val="24"/>
              </w:rPr>
              <w:t>投标保证金</w:t>
            </w:r>
          </w:p>
        </w:tc>
        <w:tc>
          <w:tcPr>
            <w:tcW w:w="5150" w:type="dxa"/>
            <w:vAlign w:val="center"/>
          </w:tcPr>
          <w:p>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2006" w:type="dxa"/>
            <w:vAlign w:val="center"/>
          </w:tcPr>
          <w:p>
            <w:pPr>
              <w:tabs>
                <w:tab w:val="left" w:pos="1080"/>
              </w:tabs>
              <w:snapToGrid w:val="0"/>
              <w:rPr>
                <w:sz w:val="24"/>
              </w:rPr>
            </w:pPr>
            <w:r>
              <w:rPr>
                <w:rFonts w:hint="eastAsia"/>
                <w:sz w:val="24"/>
              </w:rPr>
              <w:t>单独密封提交，具体要求见第二章投标人须知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4" w:type="dxa"/>
            <w:vAlign w:val="center"/>
          </w:tcPr>
          <w:p>
            <w:pPr>
              <w:tabs>
                <w:tab w:val="left" w:pos="1080"/>
              </w:tabs>
              <w:snapToGrid w:val="0"/>
              <w:jc w:val="center"/>
              <w:rPr>
                <w:sz w:val="24"/>
              </w:rPr>
            </w:pPr>
            <w:r>
              <w:rPr>
                <w:rFonts w:hint="eastAsia"/>
                <w:sz w:val="24"/>
              </w:rPr>
              <w:t>12</w:t>
            </w:r>
          </w:p>
        </w:tc>
        <w:tc>
          <w:tcPr>
            <w:tcW w:w="1518" w:type="dxa"/>
            <w:vAlign w:val="center"/>
          </w:tcPr>
          <w:p>
            <w:pPr>
              <w:tabs>
                <w:tab w:val="left" w:pos="1080"/>
              </w:tabs>
              <w:snapToGrid w:val="0"/>
              <w:rPr>
                <w:sz w:val="24"/>
              </w:rPr>
            </w:pPr>
            <w:r>
              <w:rPr>
                <w:rFonts w:hint="eastAsia"/>
                <w:sz w:val="24"/>
              </w:rPr>
              <w:t>代理费承诺书</w:t>
            </w:r>
          </w:p>
        </w:tc>
        <w:tc>
          <w:tcPr>
            <w:tcW w:w="5150" w:type="dxa"/>
            <w:vAlign w:val="center"/>
          </w:tcPr>
          <w:p>
            <w:pPr>
              <w:tabs>
                <w:tab w:val="left" w:pos="1080"/>
              </w:tabs>
              <w:snapToGrid w:val="0"/>
              <w:rPr>
                <w:color w:val="000000"/>
                <w:kern w:val="0"/>
                <w:sz w:val="24"/>
              </w:rPr>
            </w:pPr>
            <w:r>
              <w:rPr>
                <w:rFonts w:hint="eastAsia"/>
                <w:color w:val="000000"/>
                <w:kern w:val="0"/>
                <w:sz w:val="24"/>
              </w:rPr>
              <w:t>按照招标文件的规定提交。</w:t>
            </w:r>
          </w:p>
        </w:tc>
        <w:tc>
          <w:tcPr>
            <w:tcW w:w="2006" w:type="dxa"/>
            <w:vAlign w:val="center"/>
          </w:tcPr>
          <w:p>
            <w:pPr>
              <w:tabs>
                <w:tab w:val="left" w:pos="1080"/>
              </w:tabs>
              <w:snapToGrid w:val="0"/>
              <w:rPr>
                <w:sz w:val="24"/>
              </w:rPr>
            </w:pPr>
            <w:r>
              <w:rPr>
                <w:sz w:val="24"/>
              </w:rPr>
              <w:t>格式见</w:t>
            </w:r>
            <w:r>
              <w:rPr>
                <w:rFonts w:hint="eastAsia"/>
                <w:sz w:val="24"/>
              </w:rPr>
              <w:t>第七章</w:t>
            </w:r>
            <w:r>
              <w:rPr>
                <w:sz w:val="24"/>
              </w:rPr>
              <w:t>投标文件格式</w:t>
            </w:r>
          </w:p>
        </w:tc>
      </w:tr>
    </w:tbl>
    <w:p>
      <w:pPr>
        <w:rPr>
          <w:rFonts w:ascii="宋体" w:hAnsi="宋体"/>
          <w:sz w:val="24"/>
        </w:rPr>
      </w:pPr>
    </w:p>
    <w:p>
      <w:pPr>
        <w:rPr>
          <w:rFonts w:ascii="宋体" w:hAnsi="宋体"/>
          <w:sz w:val="24"/>
        </w:rPr>
      </w:pPr>
    </w:p>
    <w:p>
      <w:pPr>
        <w:rPr>
          <w:rFonts w:ascii="宋体" w:hAnsi="宋体"/>
          <w:sz w:val="24"/>
        </w:rPr>
      </w:pPr>
    </w:p>
    <w:p>
      <w:pPr>
        <w:spacing w:line="360" w:lineRule="auto"/>
        <w:jc w:val="center"/>
        <w:outlineLvl w:val="0"/>
        <w:rPr>
          <w:rStyle w:val="44"/>
        </w:rPr>
      </w:pPr>
      <w:r>
        <w:rPr>
          <w:rFonts w:hint="eastAsia" w:ascii="宋体" w:hAnsi="宋体"/>
          <w:sz w:val="24"/>
        </w:rPr>
        <w:br w:type="page"/>
      </w:r>
      <w:bookmarkStart w:id="181" w:name="_Toc100564788"/>
      <w:bookmarkStart w:id="182" w:name="_Toc217"/>
      <w:r>
        <w:rPr>
          <w:rStyle w:val="44"/>
        </w:rPr>
        <w:t xml:space="preserve">第四章  </w:t>
      </w:r>
      <w:bookmarkStart w:id="183" w:name="_Hlt164229061"/>
      <w:bookmarkEnd w:id="183"/>
      <w:r>
        <w:rPr>
          <w:rStyle w:val="44"/>
        </w:rPr>
        <w:t>评标程序、评标方法和评标标准</w:t>
      </w:r>
      <w:bookmarkEnd w:id="181"/>
      <w:bookmarkEnd w:id="182"/>
    </w:p>
    <w:p>
      <w:pPr>
        <w:pStyle w:val="5"/>
        <w:rPr>
          <w:rFonts w:ascii="宋体" w:hAnsi="宋体" w:eastAsia="宋体" w:cs="宋体"/>
        </w:rPr>
      </w:pPr>
      <w:bookmarkStart w:id="184" w:name="_Toc21835"/>
      <w:r>
        <w:rPr>
          <w:rFonts w:hint="eastAsia" w:ascii="宋体" w:hAnsi="宋体" w:eastAsia="宋体" w:cs="宋体"/>
        </w:rPr>
        <w:t>一、评标方法</w:t>
      </w:r>
      <w:bookmarkEnd w:id="184"/>
    </w:p>
    <w:p>
      <w:pPr>
        <w:numPr>
          <w:ilvl w:val="0"/>
          <w:numId w:val="9"/>
        </w:numPr>
        <w:tabs>
          <w:tab w:val="left" w:pos="360"/>
        </w:tabs>
        <w:snapToGrid w:val="0"/>
        <w:spacing w:line="360" w:lineRule="auto"/>
        <w:outlineLvl w:val="1"/>
        <w:rPr>
          <w:rFonts w:ascii="宋体" w:hAnsi="宋体"/>
          <w:sz w:val="24"/>
        </w:rPr>
      </w:pPr>
      <w:bookmarkStart w:id="185" w:name="_Toc164608810"/>
      <w:bookmarkStart w:id="186" w:name="_Toc151190168"/>
      <w:bookmarkStart w:id="187" w:name="_Toc305158883"/>
      <w:bookmarkStart w:id="188" w:name="_Toc7106"/>
      <w:bookmarkStart w:id="189" w:name="_Toc226965814"/>
      <w:bookmarkStart w:id="190" w:name="_Toc164229236"/>
      <w:bookmarkStart w:id="191" w:name="_Toc149720834"/>
      <w:bookmarkStart w:id="192" w:name="_Toc151193783"/>
      <w:bookmarkStart w:id="193" w:name="_Toc127151541"/>
      <w:bookmarkStart w:id="194" w:name="_Toc150774746"/>
      <w:bookmarkStart w:id="195" w:name="_Toc151193855"/>
      <w:bookmarkStart w:id="196" w:name="_Toc305158809"/>
      <w:bookmarkStart w:id="197" w:name="_Toc264969231"/>
      <w:bookmarkStart w:id="198" w:name="_Toc164351635"/>
      <w:bookmarkStart w:id="199" w:name="_Toc226965731"/>
      <w:bookmarkStart w:id="200" w:name="_Toc151193639"/>
      <w:bookmarkStart w:id="201" w:name="_Toc127151742"/>
      <w:bookmarkStart w:id="202" w:name="_Toc164608655"/>
      <w:bookmarkStart w:id="203" w:name="_Toc151193711"/>
      <w:bookmarkStart w:id="204" w:name="_Toc265228379"/>
      <w:bookmarkStart w:id="205" w:name="_Toc150774641"/>
      <w:bookmarkStart w:id="206" w:name="_Toc164229382"/>
      <w:bookmarkStart w:id="207" w:name="_Toc195842906"/>
      <w:bookmarkStart w:id="208" w:name="_Toc226337237"/>
      <w:bookmarkStart w:id="209" w:name="_Toc151193929"/>
      <w:bookmarkStart w:id="210" w:name="_Toc142311043"/>
      <w:bookmarkStart w:id="211" w:name="_Toc127161455"/>
      <w:bookmarkStart w:id="212" w:name="_Toc226309785"/>
      <w:bookmarkStart w:id="213" w:name="_Toc150480779"/>
      <w:bookmarkStart w:id="214" w:name="_Toc150509292"/>
      <w:bookmarkStart w:id="215" w:name="_Toc353825551"/>
      <w:bookmarkStart w:id="216" w:name="_Toc353873941"/>
      <w:r>
        <w:rPr>
          <w:rFonts w:ascii="宋体" w:hAnsi="宋体"/>
          <w:sz w:val="24"/>
        </w:rPr>
        <w:t>投标文件的符合性审查</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217" w:name="_Toc520356167"/>
      <w:r>
        <w:rPr>
          <w:rFonts w:hint="eastAsia" w:ascii="宋体" w:hAnsi="宋体"/>
          <w:sz w:val="24"/>
        </w:rPr>
        <w:t>没有进行实质性响应的投标将被视为</w:t>
      </w:r>
      <w:r>
        <w:rPr>
          <w:rFonts w:hint="eastAsia" w:ascii="宋体" w:hAnsi="宋体"/>
          <w:b/>
          <w:bCs/>
          <w:sz w:val="24"/>
        </w:rPr>
        <w:t>无效投标</w:t>
      </w:r>
      <w:r>
        <w:rPr>
          <w:rFonts w:hint="eastAsia" w:ascii="宋体" w:hAnsi="宋体"/>
          <w:sz w:val="24"/>
        </w:rPr>
        <w:t>。投标人不得通过修正或撤销不符合要求的偏离或保留从而使其投标成为有效投标。</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hint="eastAsia" w:ascii="宋体" w:hAnsi="宋体"/>
          <w:sz w:val="24"/>
        </w:rPr>
        <w:t>要求</w:t>
      </w:r>
      <w:r>
        <w:rPr>
          <w:rFonts w:ascii="宋体" w:hAnsi="宋体"/>
          <w:sz w:val="24"/>
        </w:rPr>
        <w:t>》中规定的审查因素和审查内容，对投标人的投标文件是否实质上响应招标文件进行符合性审查，并形成符合性审查评审结果。</w:t>
      </w:r>
      <w:r>
        <w:rPr>
          <w:rFonts w:hint="eastAsia" w:ascii="宋体" w:hAnsi="宋体"/>
          <w:sz w:val="24"/>
        </w:rPr>
        <w:t>投标人《商务技术文件》有任何一项不符合</w:t>
      </w:r>
      <w:r>
        <w:rPr>
          <w:rFonts w:ascii="宋体" w:hAnsi="宋体"/>
          <w:sz w:val="24"/>
        </w:rPr>
        <w:t>《符合性审查</w:t>
      </w:r>
      <w:r>
        <w:rPr>
          <w:rFonts w:hint="eastAsia" w:ascii="宋体" w:hAnsi="宋体"/>
          <w:sz w:val="24"/>
        </w:rPr>
        <w:t>要求</w:t>
      </w:r>
      <w:r>
        <w:rPr>
          <w:rFonts w:ascii="宋体" w:hAnsi="宋体"/>
          <w:sz w:val="24"/>
        </w:rPr>
        <w:t>》</w:t>
      </w:r>
      <w:bookmarkEnd w:id="217"/>
      <w:r>
        <w:rPr>
          <w:rFonts w:hint="eastAsia" w:ascii="宋体" w:hAnsi="宋体"/>
          <w:sz w:val="24"/>
        </w:rPr>
        <w:t>要求的，其</w:t>
      </w:r>
      <w:r>
        <w:rPr>
          <w:rFonts w:hint="eastAsia" w:ascii="宋体" w:hAnsi="宋体"/>
          <w:b/>
          <w:sz w:val="24"/>
        </w:rPr>
        <w:t>投标无效</w:t>
      </w:r>
      <w:r>
        <w:rPr>
          <w:rFonts w:hint="eastAsia" w:ascii="宋体" w:hAnsi="宋体"/>
          <w:sz w:val="24"/>
        </w:rPr>
        <w:t>。</w:t>
      </w:r>
    </w:p>
    <w:p>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r>
        <w:rPr>
          <w:rFonts w:ascii="宋体" w:hAnsi="宋体"/>
          <w:b/>
          <w:sz w:val="24"/>
        </w:rPr>
        <w:t>符合性审查</w:t>
      </w:r>
      <w:r>
        <w:rPr>
          <w:rFonts w:hint="eastAsia" w:ascii="宋体" w:hAnsi="宋体"/>
          <w:b/>
          <w:sz w:val="24"/>
        </w:rPr>
        <w:t>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12"/>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749" w:type="dxa"/>
            <w:vAlign w:val="center"/>
          </w:tcPr>
          <w:p>
            <w:pPr>
              <w:widowControl/>
              <w:jc w:val="center"/>
              <w:rPr>
                <w:b/>
                <w:color w:val="000000"/>
                <w:kern w:val="0"/>
                <w:sz w:val="24"/>
              </w:rPr>
            </w:pPr>
            <w:r>
              <w:rPr>
                <w:b/>
                <w:color w:val="000000"/>
                <w:kern w:val="0"/>
                <w:sz w:val="24"/>
              </w:rPr>
              <w:t>序号</w:t>
            </w:r>
          </w:p>
        </w:tc>
        <w:tc>
          <w:tcPr>
            <w:tcW w:w="1812" w:type="dxa"/>
            <w:vAlign w:val="center"/>
          </w:tcPr>
          <w:p>
            <w:pPr>
              <w:widowControl/>
              <w:jc w:val="center"/>
              <w:rPr>
                <w:b/>
                <w:color w:val="000000"/>
                <w:kern w:val="0"/>
                <w:sz w:val="24"/>
              </w:rPr>
            </w:pPr>
            <w:r>
              <w:rPr>
                <w:b/>
                <w:color w:val="000000"/>
                <w:kern w:val="0"/>
                <w:sz w:val="24"/>
              </w:rPr>
              <w:t>审查因素</w:t>
            </w:r>
          </w:p>
        </w:tc>
        <w:tc>
          <w:tcPr>
            <w:tcW w:w="6727" w:type="dxa"/>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1</w:t>
            </w:r>
          </w:p>
        </w:tc>
        <w:tc>
          <w:tcPr>
            <w:tcW w:w="1812" w:type="dxa"/>
            <w:vAlign w:val="center"/>
          </w:tcPr>
          <w:p>
            <w:pPr>
              <w:widowControl/>
              <w:jc w:val="left"/>
              <w:rPr>
                <w:color w:val="000000"/>
                <w:kern w:val="0"/>
                <w:sz w:val="24"/>
              </w:rPr>
            </w:pPr>
            <w:r>
              <w:rPr>
                <w:color w:val="000000"/>
                <w:kern w:val="0"/>
                <w:sz w:val="24"/>
              </w:rPr>
              <w:t>投标完整性</w:t>
            </w:r>
          </w:p>
        </w:tc>
        <w:tc>
          <w:tcPr>
            <w:tcW w:w="6727" w:type="dxa"/>
            <w:vAlign w:val="center"/>
          </w:tcPr>
          <w:p>
            <w:pPr>
              <w:widowControl/>
              <w:jc w:val="left"/>
              <w:rPr>
                <w:color w:val="000000"/>
                <w:kern w:val="0"/>
                <w:sz w:val="24"/>
              </w:rPr>
            </w:pPr>
            <w:r>
              <w:rPr>
                <w:rFonts w:hint="eastAsia"/>
                <w:sz w:val="24"/>
              </w:rPr>
              <w:t>未</w:t>
            </w:r>
            <w:r>
              <w:rPr>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2</w:t>
            </w:r>
          </w:p>
        </w:tc>
        <w:tc>
          <w:tcPr>
            <w:tcW w:w="1812" w:type="dxa"/>
            <w:vAlign w:val="center"/>
          </w:tcPr>
          <w:p>
            <w:pPr>
              <w:widowControl/>
              <w:jc w:val="left"/>
              <w:rPr>
                <w:color w:val="000000"/>
                <w:kern w:val="0"/>
                <w:sz w:val="24"/>
              </w:rPr>
            </w:pPr>
            <w:r>
              <w:rPr>
                <w:color w:val="000000"/>
                <w:kern w:val="0"/>
                <w:sz w:val="24"/>
              </w:rPr>
              <w:t>投标报价</w:t>
            </w:r>
          </w:p>
        </w:tc>
        <w:tc>
          <w:tcPr>
            <w:tcW w:w="6727" w:type="dxa"/>
            <w:vAlign w:val="center"/>
          </w:tcPr>
          <w:p>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3</w:t>
            </w:r>
          </w:p>
        </w:tc>
        <w:tc>
          <w:tcPr>
            <w:tcW w:w="1812" w:type="dxa"/>
            <w:vAlign w:val="center"/>
          </w:tcPr>
          <w:p>
            <w:pPr>
              <w:widowControl/>
              <w:jc w:val="left"/>
              <w:rPr>
                <w:color w:val="000000"/>
                <w:kern w:val="0"/>
                <w:sz w:val="24"/>
              </w:rPr>
            </w:pPr>
            <w:r>
              <w:rPr>
                <w:color w:val="000000"/>
                <w:kern w:val="0"/>
                <w:sz w:val="24"/>
              </w:rPr>
              <w:t>报价唯一性</w:t>
            </w:r>
          </w:p>
        </w:tc>
        <w:tc>
          <w:tcPr>
            <w:tcW w:w="6727" w:type="dxa"/>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4</w:t>
            </w:r>
          </w:p>
        </w:tc>
        <w:tc>
          <w:tcPr>
            <w:tcW w:w="1812" w:type="dxa"/>
            <w:vAlign w:val="center"/>
          </w:tcPr>
          <w:p>
            <w:pPr>
              <w:widowControl/>
              <w:jc w:val="left"/>
              <w:rPr>
                <w:color w:val="000000"/>
                <w:kern w:val="0"/>
                <w:sz w:val="24"/>
              </w:rPr>
            </w:pPr>
            <w:r>
              <w:rPr>
                <w:color w:val="000000"/>
                <w:kern w:val="0"/>
                <w:sz w:val="24"/>
              </w:rPr>
              <w:t>投标有效期</w:t>
            </w:r>
          </w:p>
        </w:tc>
        <w:tc>
          <w:tcPr>
            <w:tcW w:w="6727" w:type="dxa"/>
            <w:vAlign w:val="center"/>
          </w:tcPr>
          <w:p>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5</w:t>
            </w:r>
          </w:p>
        </w:tc>
        <w:tc>
          <w:tcPr>
            <w:tcW w:w="1812" w:type="dxa"/>
            <w:vAlign w:val="center"/>
          </w:tcPr>
          <w:p>
            <w:pPr>
              <w:widowControl/>
              <w:jc w:val="left"/>
              <w:rPr>
                <w:color w:val="000000"/>
                <w:kern w:val="0"/>
                <w:sz w:val="24"/>
              </w:rPr>
            </w:pPr>
            <w:r>
              <w:rPr>
                <w:color w:val="000000"/>
                <w:kern w:val="0"/>
                <w:sz w:val="24"/>
              </w:rPr>
              <w:t>签署、盖章</w:t>
            </w:r>
          </w:p>
        </w:tc>
        <w:tc>
          <w:tcPr>
            <w:tcW w:w="6727" w:type="dxa"/>
            <w:vAlign w:val="center"/>
          </w:tcPr>
          <w:p>
            <w:pPr>
              <w:widowControl/>
              <w:jc w:val="left"/>
              <w:rPr>
                <w:color w:val="000000"/>
                <w:kern w:val="0"/>
                <w:sz w:val="24"/>
              </w:rPr>
            </w:pPr>
            <w:r>
              <w:rPr>
                <w:color w:val="000000"/>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6</w:t>
            </w:r>
          </w:p>
        </w:tc>
        <w:tc>
          <w:tcPr>
            <w:tcW w:w="1812" w:type="dxa"/>
            <w:vAlign w:val="center"/>
          </w:tcPr>
          <w:p>
            <w:pPr>
              <w:widowControl/>
              <w:jc w:val="left"/>
              <w:rPr>
                <w:color w:val="000000"/>
                <w:kern w:val="0"/>
                <w:sz w:val="24"/>
              </w:rPr>
            </w:pPr>
            <w:r>
              <w:rPr>
                <w:rFonts w:hint="eastAsia"/>
                <w:color w:val="000000"/>
                <w:kern w:val="0"/>
                <w:sz w:val="24"/>
              </w:rPr>
              <w:t>实质性格式</w:t>
            </w:r>
          </w:p>
        </w:tc>
        <w:tc>
          <w:tcPr>
            <w:tcW w:w="6727" w:type="dxa"/>
            <w:vAlign w:val="center"/>
          </w:tcPr>
          <w:p>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7</w:t>
            </w:r>
          </w:p>
        </w:tc>
        <w:tc>
          <w:tcPr>
            <w:tcW w:w="1812" w:type="dxa"/>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727" w:type="dxa"/>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8</w:t>
            </w:r>
          </w:p>
        </w:tc>
        <w:tc>
          <w:tcPr>
            <w:tcW w:w="1812" w:type="dxa"/>
            <w:vAlign w:val="center"/>
          </w:tcPr>
          <w:p>
            <w:pPr>
              <w:widowControl/>
              <w:jc w:val="left"/>
              <w:rPr>
                <w:color w:val="000000"/>
                <w:kern w:val="0"/>
                <w:sz w:val="24"/>
              </w:rPr>
            </w:pPr>
            <w:r>
              <w:rPr>
                <w:color w:val="000000"/>
                <w:kern w:val="0"/>
                <w:sz w:val="24"/>
              </w:rPr>
              <w:t>分包承担主体资质（如有）</w:t>
            </w:r>
          </w:p>
        </w:tc>
        <w:tc>
          <w:tcPr>
            <w:tcW w:w="6727" w:type="dxa"/>
            <w:vAlign w:val="center"/>
          </w:tcPr>
          <w:p>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9</w:t>
            </w:r>
          </w:p>
        </w:tc>
        <w:tc>
          <w:tcPr>
            <w:tcW w:w="1812" w:type="dxa"/>
            <w:vAlign w:val="center"/>
          </w:tcPr>
          <w:p>
            <w:pPr>
              <w:widowControl/>
              <w:jc w:val="left"/>
              <w:rPr>
                <w:color w:val="000000"/>
                <w:kern w:val="0"/>
                <w:sz w:val="24"/>
              </w:rPr>
            </w:pPr>
            <w:r>
              <w:rPr>
                <w:color w:val="000000"/>
                <w:kern w:val="0"/>
                <w:sz w:val="24"/>
              </w:rPr>
              <w:t>分包意向协议</w:t>
            </w:r>
          </w:p>
          <w:p>
            <w:pPr>
              <w:widowControl/>
              <w:jc w:val="left"/>
              <w:rPr>
                <w:color w:val="000000"/>
                <w:kern w:val="0"/>
                <w:sz w:val="24"/>
              </w:rPr>
            </w:pPr>
            <w:r>
              <w:rPr>
                <w:color w:val="000000"/>
                <w:kern w:val="0"/>
                <w:sz w:val="24"/>
              </w:rPr>
              <w:t>（如有）</w:t>
            </w:r>
          </w:p>
        </w:tc>
        <w:tc>
          <w:tcPr>
            <w:tcW w:w="6727" w:type="dxa"/>
            <w:vAlign w:val="center"/>
          </w:tcPr>
          <w:p>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0</w:t>
            </w:r>
          </w:p>
        </w:tc>
        <w:tc>
          <w:tcPr>
            <w:tcW w:w="1812" w:type="dxa"/>
            <w:vAlign w:val="center"/>
          </w:tcPr>
          <w:p>
            <w:pPr>
              <w:widowControl/>
              <w:jc w:val="left"/>
              <w:rPr>
                <w:color w:val="000000"/>
                <w:kern w:val="0"/>
                <w:sz w:val="24"/>
              </w:rPr>
            </w:pPr>
            <w:r>
              <w:rPr>
                <w:color w:val="000000"/>
                <w:kern w:val="0"/>
                <w:sz w:val="24"/>
              </w:rPr>
              <w:t>报价的修正（如有）</w:t>
            </w:r>
          </w:p>
        </w:tc>
        <w:tc>
          <w:tcPr>
            <w:tcW w:w="6727" w:type="dxa"/>
            <w:vAlign w:val="center"/>
          </w:tcPr>
          <w:p>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1</w:t>
            </w:r>
          </w:p>
        </w:tc>
        <w:tc>
          <w:tcPr>
            <w:tcW w:w="1812" w:type="dxa"/>
            <w:vAlign w:val="center"/>
          </w:tcPr>
          <w:p>
            <w:pPr>
              <w:widowControl/>
              <w:jc w:val="left"/>
              <w:rPr>
                <w:color w:val="000000"/>
                <w:kern w:val="0"/>
                <w:sz w:val="24"/>
              </w:rPr>
            </w:pPr>
            <w:r>
              <w:rPr>
                <w:color w:val="000000"/>
                <w:kern w:val="0"/>
                <w:sz w:val="24"/>
              </w:rPr>
              <w:t>报价合理性</w:t>
            </w:r>
          </w:p>
        </w:tc>
        <w:tc>
          <w:tcPr>
            <w:tcW w:w="6727" w:type="dxa"/>
            <w:vAlign w:val="center"/>
          </w:tcPr>
          <w:p>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2</w:t>
            </w:r>
          </w:p>
        </w:tc>
        <w:tc>
          <w:tcPr>
            <w:tcW w:w="1812" w:type="dxa"/>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6727" w:type="dxa"/>
            <w:vAlign w:val="center"/>
          </w:tcPr>
          <w:p>
            <w:pPr>
              <w:widowControl/>
              <w:jc w:val="left"/>
              <w:rPr>
                <w:color w:val="000000"/>
                <w:kern w:val="0"/>
                <w:sz w:val="24"/>
              </w:rPr>
            </w:pPr>
            <w:r>
              <w:rPr>
                <w:rFonts w:hint="eastAsia" w:ascii="宋体" w:hAnsi="宋体"/>
                <w:sz w:val="24"/>
              </w:rPr>
              <w:t>招标文件</w:t>
            </w:r>
            <w:r>
              <w:rPr>
                <w:rFonts w:ascii="宋体" w:hAnsi="宋体"/>
                <w:sz w:val="24"/>
              </w:rPr>
              <w:t>不接受进口产品投标</w:t>
            </w:r>
            <w:r>
              <w:rPr>
                <w:rFonts w:hint="eastAsia" w:ascii="宋体" w:hAnsi="宋体"/>
                <w:sz w:val="24"/>
              </w:rPr>
              <w:t>的内容时</w:t>
            </w:r>
            <w:r>
              <w:rPr>
                <w:rFonts w:ascii="宋体" w:hAnsi="宋体"/>
                <w:sz w:val="24"/>
              </w:rPr>
              <w:t>，</w:t>
            </w:r>
            <w:r>
              <w:rPr>
                <w:rFonts w:hint="eastAsia" w:ascii="宋体" w:hAnsi="宋体"/>
                <w:sz w:val="24"/>
              </w:rPr>
              <w:t>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3</w:t>
            </w:r>
          </w:p>
        </w:tc>
        <w:tc>
          <w:tcPr>
            <w:tcW w:w="1812" w:type="dxa"/>
            <w:vAlign w:val="center"/>
          </w:tcPr>
          <w:p>
            <w:pPr>
              <w:widowControl/>
              <w:jc w:val="left"/>
              <w:rPr>
                <w:color w:val="000000"/>
                <w:kern w:val="0"/>
                <w:sz w:val="24"/>
              </w:rPr>
            </w:pPr>
            <w:r>
              <w:rPr>
                <w:color w:val="000000"/>
                <w:kern w:val="0"/>
                <w:sz w:val="24"/>
              </w:rPr>
              <w:t>国家有关部门对投标人的投标产品有强制性规定或要求的</w:t>
            </w:r>
          </w:p>
        </w:tc>
        <w:tc>
          <w:tcPr>
            <w:tcW w:w="6727" w:type="dxa"/>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pPr>
              <w:widowControl/>
              <w:jc w:val="left"/>
              <w:rPr>
                <w:kern w:val="0"/>
                <w:sz w:val="24"/>
              </w:rPr>
            </w:pPr>
            <w:r>
              <w:rPr>
                <w:rFonts w:hint="eastAsia"/>
                <w:color w:val="000000"/>
                <w:kern w:val="0"/>
                <w:sz w:val="24"/>
              </w:rPr>
              <w:t>1）</w:t>
            </w:r>
            <w:r>
              <w:rPr>
                <w:color w:val="000000"/>
                <w:kern w:val="0"/>
                <w:sz w:val="24"/>
              </w:rPr>
              <w:t>采购</w:t>
            </w:r>
            <w:r>
              <w:rPr>
                <w:kern w:val="0"/>
                <w:sz w:val="24"/>
              </w:rPr>
              <w:t>的产品若属于《节能产品政府采购品目清单》范围中政府强制采购产品，则投标人所报产品必须获得国家确定的认证机构出具的、处于有效期之内的节能产品认证证书；</w:t>
            </w:r>
          </w:p>
          <w:p>
            <w:pPr>
              <w:widowControl/>
              <w:jc w:val="left"/>
              <w:rPr>
                <w:kern w:val="0"/>
                <w:sz w:val="24"/>
              </w:rPr>
            </w:pPr>
            <w:r>
              <w:rPr>
                <w:rFonts w:hint="eastAsia"/>
                <w:kern w:val="0"/>
                <w:sz w:val="24"/>
              </w:rPr>
              <w:t>2）</w:t>
            </w:r>
            <w:r>
              <w:rPr>
                <w:kern w:val="0"/>
                <w:sz w:val="24"/>
              </w:rPr>
              <w:t>投标产品</w:t>
            </w:r>
            <w:r>
              <w:rPr>
                <w:rFonts w:hint="eastAsia"/>
                <w:kern w:val="0"/>
                <w:sz w:val="24"/>
              </w:rPr>
              <w:t>列入《网络关键设备和网络安全专用产品目录》的网络安全专用产品应至少符合以下条件之一，方可销售或者提供：一是依据《公告》要求，按照《信息安全技术网络安全专用产品安全技术要求》等相关国家标准强制性要求，由具备资格的机构安全认证合格或安全检测符合要求的；二是此前已经获得《计算机信息系统安全专用产品销售许可证》，且在有效期内的</w:t>
            </w:r>
            <w:r>
              <w:rPr>
                <w:kern w:val="0"/>
                <w:sz w:val="24"/>
              </w:rPr>
              <w:t>；</w:t>
            </w:r>
          </w:p>
          <w:p>
            <w:pPr>
              <w:widowControl/>
              <w:jc w:val="left"/>
              <w:rPr>
                <w:kern w:val="0"/>
                <w:sz w:val="24"/>
              </w:rPr>
            </w:pPr>
            <w:r>
              <w:rPr>
                <w:kern w:val="0"/>
                <w:sz w:val="24"/>
              </w:rPr>
              <w:t>3</w:t>
            </w:r>
            <w:r>
              <w:rPr>
                <w:rFonts w:hint="eastAsia"/>
                <w:kern w:val="0"/>
                <w:sz w:val="24"/>
              </w:rPr>
              <w:t>）</w:t>
            </w:r>
            <w:r>
              <w:rPr>
                <w:kern w:val="0"/>
                <w:sz w:val="24"/>
              </w:rPr>
              <w:t>投标产品如有属于开展国家信息安全产品认证产品范围的，须</w:t>
            </w:r>
            <w:r>
              <w:rPr>
                <w:rFonts w:hint="eastAsia"/>
                <w:kern w:val="0"/>
                <w:sz w:val="24"/>
              </w:rPr>
              <w:t>提供</w:t>
            </w:r>
            <w:r>
              <w:rPr>
                <w:kern w:val="0"/>
                <w:sz w:val="24"/>
              </w:rPr>
              <w:t>由中国网络安全审查技术与认证中心（原中国信息安全认证中心）按国家标准认证颁发的有效认证证书等）；</w:t>
            </w:r>
          </w:p>
          <w:p>
            <w:pPr>
              <w:widowControl/>
              <w:jc w:val="left"/>
              <w:rPr>
                <w:sz w:val="24"/>
              </w:rPr>
            </w:pPr>
            <w:r>
              <w:rPr>
                <w:rFonts w:hint="eastAsia"/>
                <w:sz w:val="24"/>
              </w:rPr>
              <w:t>4）</w:t>
            </w:r>
            <w:r>
              <w:rPr>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项目中涉及涂料、胶黏剂、油墨、清洗剂等挥发性有机物产品，且属于强制性标准的，供应商应执行符合本市和国家的VOCs 含量限制标准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4</w:t>
            </w:r>
          </w:p>
        </w:tc>
        <w:tc>
          <w:tcPr>
            <w:tcW w:w="1812" w:type="dxa"/>
            <w:vAlign w:val="center"/>
          </w:tcPr>
          <w:p>
            <w:pPr>
              <w:widowControl/>
              <w:jc w:val="left"/>
              <w:rPr>
                <w:color w:val="000000"/>
                <w:kern w:val="0"/>
                <w:sz w:val="24"/>
              </w:rPr>
            </w:pPr>
            <w:r>
              <w:rPr>
                <w:color w:val="000000"/>
                <w:kern w:val="0"/>
                <w:sz w:val="24"/>
              </w:rPr>
              <w:t>公平竞争</w:t>
            </w:r>
          </w:p>
        </w:tc>
        <w:tc>
          <w:tcPr>
            <w:tcW w:w="6727" w:type="dxa"/>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5</w:t>
            </w:r>
          </w:p>
        </w:tc>
        <w:tc>
          <w:tcPr>
            <w:tcW w:w="1812" w:type="dxa"/>
            <w:vAlign w:val="center"/>
          </w:tcPr>
          <w:p>
            <w:pPr>
              <w:widowControl/>
              <w:jc w:val="left"/>
              <w:rPr>
                <w:color w:val="000000"/>
                <w:kern w:val="0"/>
                <w:sz w:val="24"/>
              </w:rPr>
            </w:pPr>
            <w:r>
              <w:rPr>
                <w:color w:val="000000"/>
                <w:kern w:val="0"/>
                <w:sz w:val="24"/>
              </w:rPr>
              <w:t>串通投标</w:t>
            </w:r>
          </w:p>
        </w:tc>
        <w:tc>
          <w:tcPr>
            <w:tcW w:w="6727" w:type="dxa"/>
            <w:vAlign w:val="center"/>
          </w:tcPr>
          <w:p>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color w:val="000000"/>
                <w:kern w:val="0"/>
                <w:sz w:val="24"/>
              </w:rPr>
              <w:t>1</w:t>
            </w:r>
            <w:r>
              <w:rPr>
                <w:rFonts w:hint="eastAsia"/>
                <w:color w:val="000000"/>
                <w:kern w:val="0"/>
                <w:sz w:val="24"/>
              </w:rPr>
              <w:t>6</w:t>
            </w:r>
          </w:p>
        </w:tc>
        <w:tc>
          <w:tcPr>
            <w:tcW w:w="1812" w:type="dxa"/>
            <w:vAlign w:val="center"/>
          </w:tcPr>
          <w:p>
            <w:pPr>
              <w:widowControl/>
              <w:jc w:val="left"/>
              <w:rPr>
                <w:color w:val="000000"/>
                <w:kern w:val="0"/>
                <w:sz w:val="24"/>
              </w:rPr>
            </w:pPr>
            <w:r>
              <w:rPr>
                <w:color w:val="000000"/>
                <w:kern w:val="0"/>
                <w:sz w:val="24"/>
              </w:rPr>
              <w:t>附加条件</w:t>
            </w:r>
          </w:p>
        </w:tc>
        <w:tc>
          <w:tcPr>
            <w:tcW w:w="6727" w:type="dxa"/>
            <w:vAlign w:val="center"/>
          </w:tcPr>
          <w:p>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9" w:type="dxa"/>
            <w:vAlign w:val="center"/>
          </w:tcPr>
          <w:p>
            <w:pPr>
              <w:widowControl/>
              <w:jc w:val="center"/>
              <w:rPr>
                <w:color w:val="000000"/>
                <w:kern w:val="0"/>
                <w:sz w:val="24"/>
              </w:rPr>
            </w:pPr>
            <w:r>
              <w:rPr>
                <w:rFonts w:hint="eastAsia"/>
                <w:color w:val="000000"/>
                <w:kern w:val="0"/>
                <w:sz w:val="24"/>
              </w:rPr>
              <w:t>17</w:t>
            </w:r>
          </w:p>
        </w:tc>
        <w:tc>
          <w:tcPr>
            <w:tcW w:w="1812" w:type="dxa"/>
            <w:vAlign w:val="center"/>
          </w:tcPr>
          <w:p>
            <w:pPr>
              <w:widowControl/>
              <w:jc w:val="left"/>
              <w:rPr>
                <w:color w:val="000000"/>
                <w:kern w:val="0"/>
                <w:sz w:val="24"/>
              </w:rPr>
            </w:pPr>
            <w:r>
              <w:rPr>
                <w:color w:val="000000"/>
                <w:kern w:val="0"/>
                <w:sz w:val="24"/>
              </w:rPr>
              <w:t>其他无效情形</w:t>
            </w:r>
          </w:p>
        </w:tc>
        <w:tc>
          <w:tcPr>
            <w:tcW w:w="6727" w:type="dxa"/>
            <w:vAlign w:val="center"/>
          </w:tcPr>
          <w:p>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pPr>
        <w:tabs>
          <w:tab w:val="left" w:pos="1080"/>
          <w:tab w:val="left" w:pos="1589"/>
        </w:tabs>
        <w:snapToGrid w:val="0"/>
        <w:spacing w:line="360" w:lineRule="auto"/>
        <w:rPr>
          <w:rFonts w:ascii="宋体" w:hAnsi="宋体"/>
          <w:sz w:val="24"/>
        </w:rPr>
        <w:sectPr>
          <w:footerReference r:id="rId4" w:type="default"/>
          <w:pgSz w:w="11907" w:h="16840"/>
          <w:pgMar w:top="1418" w:right="1134" w:bottom="1418" w:left="1701" w:header="851" w:footer="851" w:gutter="0"/>
          <w:pgNumType w:start="1"/>
          <w:cols w:space="720" w:num="1"/>
          <w:docGrid w:linePitch="462" w:charSpace="0"/>
        </w:sectPr>
      </w:pPr>
    </w:p>
    <w:p>
      <w:pPr>
        <w:numPr>
          <w:ilvl w:val="0"/>
          <w:numId w:val="9"/>
        </w:numPr>
        <w:tabs>
          <w:tab w:val="left" w:pos="360"/>
        </w:tabs>
        <w:snapToGrid w:val="0"/>
        <w:spacing w:line="360" w:lineRule="auto"/>
        <w:outlineLvl w:val="1"/>
        <w:rPr>
          <w:rFonts w:ascii="宋体" w:hAnsi="宋体"/>
          <w:sz w:val="24"/>
        </w:rPr>
      </w:pPr>
      <w:bookmarkStart w:id="218" w:name="_Toc22189"/>
      <w:r>
        <w:rPr>
          <w:rFonts w:ascii="宋体" w:hAnsi="宋体"/>
          <w:sz w:val="24"/>
        </w:rPr>
        <w:t>投标文件有关事项的澄清或者说明</w:t>
      </w:r>
      <w:bookmarkEnd w:id="218"/>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b/>
          <w:sz w:val="24"/>
        </w:rPr>
        <w:t>投标无效</w:t>
      </w:r>
      <w:r>
        <w:rPr>
          <w:rFonts w:ascii="宋体" w:hAnsi="宋体"/>
          <w:sz w:val="24"/>
        </w:rPr>
        <w:t>。</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pPr>
        <w:numPr>
          <w:ilvl w:val="2"/>
          <w:numId w:val="9"/>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w:t>
      </w:r>
      <w:r>
        <w:rPr>
          <w:rFonts w:ascii="宋体" w:hAnsi="宋体"/>
          <w:sz w:val="24"/>
        </w:rPr>
        <w:t>无，按下述2.4.2-2.4.7项规定修正。</w:t>
      </w:r>
    </w:p>
    <w:p>
      <w:pPr>
        <w:numPr>
          <w:ilvl w:val="2"/>
          <w:numId w:val="9"/>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pPr>
        <w:numPr>
          <w:ilvl w:val="2"/>
          <w:numId w:val="9"/>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投标文件中开标一览表（报价表）内容与投标文件中相应内容不一致的，以开标一览表（报价表）为准；</w:t>
      </w:r>
    </w:p>
    <w:p>
      <w:pPr>
        <w:numPr>
          <w:ilvl w:val="2"/>
          <w:numId w:val="9"/>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pPr>
        <w:numPr>
          <w:ilvl w:val="2"/>
          <w:numId w:val="9"/>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单价金额小数点或者百分比有明显错位的，以开标一览表的总价为准，并修改单价；</w:t>
      </w:r>
    </w:p>
    <w:p>
      <w:pPr>
        <w:numPr>
          <w:ilvl w:val="2"/>
          <w:numId w:val="9"/>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pPr>
        <w:numPr>
          <w:ilvl w:val="2"/>
          <w:numId w:val="9"/>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价格调整：只有符合第二章《投标人须知》5.2条规定情形的，可以享受中小企业扶持政策，用扣除后的价格参加评审；否则，评标时价格不予扣除。</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hint="eastAsia" w:ascii="宋体" w:hAnsi="宋体"/>
          <w:sz w:val="24"/>
        </w:rPr>
        <w:t>10</w:t>
      </w:r>
      <w:r>
        <w:rPr>
          <w:rFonts w:ascii="宋体" w:hAnsi="宋体"/>
          <w:sz w:val="24"/>
          <w:u w:val="single"/>
        </w:rPr>
        <w:t>%</w:t>
      </w:r>
      <w:r>
        <w:rPr>
          <w:rFonts w:ascii="宋体" w:hAnsi="宋体"/>
          <w:sz w:val="24"/>
        </w:rPr>
        <w:t>的扣除，用扣除后的价格参加评审。</w:t>
      </w:r>
    </w:p>
    <w:p>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rPr>
        <w:t>4</w:t>
      </w:r>
      <w:r>
        <w:rPr>
          <w:sz w:val="24"/>
        </w:rPr>
        <w:t>%的扣除，用扣除后的价格参加评审。</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color w:val="000000"/>
          <w:sz w:val="24"/>
        </w:rPr>
        <w:t>中小企业参加采购活动，应当按照招标文件给定的格式出具《中小企业声明函》，否则不得享受相关中小企业扶持政策。</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pPr>
        <w:numPr>
          <w:ilvl w:val="2"/>
          <w:numId w:val="9"/>
        </w:numPr>
        <w:tabs>
          <w:tab w:val="left" w:pos="1080"/>
          <w:tab w:val="left" w:pos="1589"/>
          <w:tab w:val="left" w:pos="2014"/>
          <w:tab w:val="clear" w:pos="1980"/>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pPr>
        <w:numPr>
          <w:ilvl w:val="0"/>
          <w:numId w:val="9"/>
        </w:numPr>
        <w:tabs>
          <w:tab w:val="left" w:pos="360"/>
        </w:tabs>
        <w:snapToGrid w:val="0"/>
        <w:spacing w:line="360" w:lineRule="auto"/>
        <w:outlineLvl w:val="1"/>
        <w:rPr>
          <w:rFonts w:ascii="宋体" w:hAnsi="宋体"/>
          <w:sz w:val="24"/>
        </w:rPr>
      </w:pPr>
      <w:bookmarkStart w:id="219" w:name="_Toc11756"/>
      <w:r>
        <w:rPr>
          <w:rFonts w:ascii="宋体" w:hAnsi="宋体"/>
          <w:sz w:val="24"/>
        </w:rPr>
        <w:t>投标文件的比较和评价</w:t>
      </w:r>
      <w:bookmarkEnd w:id="215"/>
      <w:bookmarkEnd w:id="216"/>
      <w:bookmarkEnd w:id="219"/>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hint="eastAsia" w:ascii="宋体" w:hAnsi="宋体"/>
          <w:sz w:val="24"/>
        </w:rPr>
        <w:t>，招标文件中没有规定的评标标准不得作为评审的依据。</w:t>
      </w:r>
    </w:p>
    <w:p>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w:t>
      </w:r>
      <w:r>
        <w:rPr>
          <w:rFonts w:ascii="宋体" w:hAnsi="宋体"/>
          <w:sz w:val="24"/>
        </w:rPr>
        <w:t>随机抽取</w:t>
      </w:r>
    </w:p>
    <w:p>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pPr>
        <w:numPr>
          <w:ilvl w:val="2"/>
          <w:numId w:val="9"/>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hint="eastAsia" w:ascii="宋体" w:hAnsi="宋体" w:cs="Tahom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hint="eastAsia" w:ascii="宋体" w:hAnsi="宋体" w:cs="Tahoma"/>
          <w:kern w:val="0"/>
          <w:sz w:val="24"/>
          <w:u w:val="single"/>
        </w:rPr>
        <w:t>中优先采购的，所投产品提供了国家确定的认证机构出具的、处于有效期之内的节能产品</w:t>
      </w:r>
      <w:r>
        <w:rPr>
          <w:rFonts w:ascii="宋体" w:hAnsi="宋体" w:cs="Tahoma"/>
          <w:kern w:val="0"/>
          <w:sz w:val="24"/>
          <w:u w:val="single"/>
        </w:rPr>
        <w:t>/</w:t>
      </w:r>
      <w:r>
        <w:rPr>
          <w:rFonts w:hint="eastAsia" w:ascii="宋体" w:hAnsi="宋体" w:cs="Tahoma"/>
          <w:kern w:val="0"/>
          <w:sz w:val="24"/>
          <w:u w:val="single"/>
        </w:rPr>
        <w:t>环境标志产品认证证书复印件的，按照《评标标准》中节能、环境标志产品得分规则加分。</w:t>
      </w:r>
    </w:p>
    <w:p>
      <w:pPr>
        <w:numPr>
          <w:ilvl w:val="2"/>
          <w:numId w:val="9"/>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关于无线局域网认证产品政府采购清单中的产品，优先采购的具体规定（如涉及）_____。</w:t>
      </w:r>
    </w:p>
    <w:p>
      <w:pPr>
        <w:numPr>
          <w:ilvl w:val="0"/>
          <w:numId w:val="9"/>
        </w:numPr>
        <w:tabs>
          <w:tab w:val="left" w:pos="360"/>
        </w:tabs>
        <w:snapToGrid w:val="0"/>
        <w:spacing w:line="360" w:lineRule="auto"/>
        <w:outlineLvl w:val="1"/>
        <w:rPr>
          <w:rFonts w:ascii="宋体" w:hAnsi="宋体"/>
          <w:sz w:val="24"/>
        </w:rPr>
      </w:pPr>
      <w:bookmarkStart w:id="220" w:name="_Toc14175"/>
      <w:r>
        <w:rPr>
          <w:rFonts w:ascii="宋体" w:hAnsi="宋体"/>
          <w:sz w:val="24"/>
        </w:rPr>
        <w:t>确定</w:t>
      </w:r>
      <w:bookmarkStart w:id="221" w:name="_Toc151193716"/>
      <w:bookmarkStart w:id="222" w:name="_Toc142311048"/>
      <w:bookmarkStart w:id="223" w:name="_Toc520356170"/>
      <w:bookmarkStart w:id="224" w:name="_Toc305158814"/>
      <w:bookmarkStart w:id="225" w:name="_Toc226337242"/>
      <w:bookmarkStart w:id="226" w:name="_Toc149720839"/>
      <w:bookmarkStart w:id="227" w:name="_Toc164229241"/>
      <w:bookmarkStart w:id="228" w:name="_Toc150480784"/>
      <w:bookmarkStart w:id="229" w:name="_Toc164351640"/>
      <w:bookmarkStart w:id="230" w:name="_Toc127151546"/>
      <w:bookmarkStart w:id="231" w:name="_Toc226965819"/>
      <w:bookmarkStart w:id="232" w:name="_Toc151193788"/>
      <w:bookmarkStart w:id="233" w:name="_Toc150774646"/>
      <w:bookmarkStart w:id="234" w:name="_Toc150774751"/>
      <w:bookmarkStart w:id="235" w:name="_Toc226309790"/>
      <w:bookmarkStart w:id="236" w:name="_Toc164229387"/>
      <w:bookmarkStart w:id="237" w:name="_Toc265228384"/>
      <w:bookmarkStart w:id="238" w:name="_Toc127161460"/>
      <w:bookmarkStart w:id="239" w:name="_Toc226965736"/>
      <w:bookmarkStart w:id="240" w:name="_Toc164608660"/>
      <w:bookmarkStart w:id="241" w:name="_Toc151193860"/>
      <w:bookmarkStart w:id="242" w:name="_Toc164608815"/>
      <w:bookmarkStart w:id="243" w:name="_Ref467307010"/>
      <w:bookmarkStart w:id="244" w:name="_Toc151190173"/>
      <w:bookmarkStart w:id="245" w:name="_Toc150509297"/>
      <w:bookmarkStart w:id="246" w:name="_Toc195842911"/>
      <w:bookmarkStart w:id="247" w:name="_Toc264969236"/>
      <w:bookmarkStart w:id="248" w:name="_Toc151193644"/>
      <w:bookmarkStart w:id="249" w:name="_Toc151193934"/>
      <w:bookmarkStart w:id="250" w:name="_Toc305158888"/>
      <w:bookmarkStart w:id="251" w:name="_Toc127151747"/>
      <w:r>
        <w:rPr>
          <w:rFonts w:ascii="宋体" w:hAnsi="宋体"/>
          <w:sz w:val="24"/>
        </w:rPr>
        <w:t>中标候选人名单</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17"/>
        <w:tabs>
          <w:tab w:val="left" w:pos="900"/>
          <w:tab w:val="left" w:pos="2127"/>
        </w:tabs>
        <w:adjustRightInd w:val="0"/>
        <w:snapToGrid w:val="0"/>
        <w:spacing w:line="360" w:lineRule="auto"/>
        <w:ind w:left="993" w:firstLine="136" w:firstLineChars="57"/>
        <w:rPr>
          <w:rFonts w:hAnsi="宋体"/>
          <w:sz w:val="24"/>
          <w:szCs w:val="24"/>
        </w:rPr>
      </w:pPr>
      <w:r>
        <w:rPr>
          <w:rFonts w:hAnsi="宋体"/>
          <w:sz w:val="24"/>
          <w:szCs w:val="24"/>
        </w:rPr>
        <w:t>□随机抽取</w:t>
      </w:r>
    </w:p>
    <w:p>
      <w:pPr>
        <w:pStyle w:val="17"/>
        <w:tabs>
          <w:tab w:val="left" w:pos="900"/>
          <w:tab w:val="left" w:pos="2127"/>
        </w:tabs>
        <w:adjustRightInd w:val="0"/>
        <w:snapToGrid w:val="0"/>
        <w:spacing w:line="360" w:lineRule="auto"/>
        <w:ind w:left="993" w:firstLine="136" w:firstLineChars="57"/>
        <w:rPr>
          <w:rFonts w:hAnsi="宋体"/>
          <w:sz w:val="24"/>
          <w:szCs w:val="24"/>
        </w:rPr>
      </w:pPr>
      <w:r>
        <w:rPr>
          <w:rFonts w:hAnsi="宋体"/>
          <w:sz w:val="24"/>
        </w:rPr>
        <w:t>■</w:t>
      </w:r>
      <w:r>
        <w:rPr>
          <w:rFonts w:hAnsi="宋体"/>
          <w:sz w:val="24"/>
          <w:szCs w:val="24"/>
        </w:rPr>
        <w:t>其他方式，具体要求：</w:t>
      </w:r>
      <w:r>
        <w:rPr>
          <w:rFonts w:hAnsi="宋体"/>
          <w:sz w:val="24"/>
          <w:szCs w:val="24"/>
          <w:u w:val="single"/>
        </w:rPr>
        <w:t>以价格</w:t>
      </w:r>
      <w:r>
        <w:rPr>
          <w:rFonts w:hint="eastAsia" w:hAnsi="宋体"/>
          <w:sz w:val="24"/>
          <w:szCs w:val="24"/>
          <w:u w:val="single"/>
        </w:rPr>
        <w:t>低</w:t>
      </w:r>
      <w:r>
        <w:rPr>
          <w:rFonts w:hAnsi="宋体"/>
          <w:sz w:val="24"/>
          <w:szCs w:val="24"/>
          <w:u w:val="single"/>
        </w:rPr>
        <w:t>的投标人获得中标人推荐资格</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hint="eastAsia" w:ascii="宋体" w:hAnsi="宋体"/>
          <w:sz w:val="24"/>
        </w:rPr>
        <w:t>响应</w:t>
      </w:r>
      <w:r>
        <w:rPr>
          <w:rFonts w:ascii="宋体" w:hAnsi="宋体"/>
          <w:sz w:val="24"/>
        </w:rPr>
        <w:t>文件被认定为无效的情形进行重点复核。</w:t>
      </w:r>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hint="eastAsia" w:ascii="宋体" w:hAnsi="宋体"/>
          <w:sz w:val="24"/>
        </w:rPr>
        <w:t>各</w:t>
      </w:r>
      <w:r>
        <w:rPr>
          <w:rFonts w:ascii="宋体" w:hAnsi="宋体"/>
          <w:sz w:val="24"/>
        </w:rPr>
        <w:t>采购包）的中标候选人，起草并签署评标报告。本项目（</w:t>
      </w:r>
      <w:r>
        <w:rPr>
          <w:rFonts w:hint="eastAsia" w:ascii="宋体" w:hAnsi="宋体"/>
          <w:sz w:val="24"/>
        </w:rPr>
        <w:t>各</w:t>
      </w:r>
      <w:r>
        <w:rPr>
          <w:rFonts w:ascii="宋体" w:hAnsi="宋体"/>
          <w:sz w:val="24"/>
        </w:rPr>
        <w:t>采购包）评标委员会共（各）推荐</w:t>
      </w:r>
      <w:r>
        <w:rPr>
          <w:rFonts w:hint="eastAsia" w:ascii="宋体" w:hAnsi="宋体"/>
          <w:sz w:val="24"/>
          <w:u w:val="single"/>
        </w:rPr>
        <w:t xml:space="preserve"> </w:t>
      </w:r>
      <w:r>
        <w:rPr>
          <w:rFonts w:ascii="宋体" w:hAnsi="宋体"/>
          <w:sz w:val="24"/>
          <w:u w:val="single"/>
        </w:rPr>
        <w:t xml:space="preserve">3 </w:t>
      </w:r>
      <w:r>
        <w:rPr>
          <w:rFonts w:ascii="宋体" w:hAnsi="宋体"/>
          <w:sz w:val="24"/>
        </w:rPr>
        <w:t>名中标候选人。</w:t>
      </w:r>
    </w:p>
    <w:p>
      <w:pPr>
        <w:numPr>
          <w:ilvl w:val="0"/>
          <w:numId w:val="9"/>
        </w:numPr>
        <w:tabs>
          <w:tab w:val="left" w:pos="360"/>
        </w:tabs>
        <w:snapToGrid w:val="0"/>
        <w:spacing w:line="360" w:lineRule="auto"/>
        <w:outlineLvl w:val="1"/>
        <w:rPr>
          <w:rFonts w:ascii="宋体" w:hAnsi="宋体"/>
          <w:sz w:val="24"/>
        </w:rPr>
      </w:pPr>
      <w:bookmarkStart w:id="252" w:name="_Toc14310"/>
      <w:r>
        <w:rPr>
          <w:rFonts w:ascii="宋体" w:hAnsi="宋体"/>
          <w:sz w:val="24"/>
        </w:rPr>
        <w:t>报告违法行为</w:t>
      </w:r>
      <w:bookmarkEnd w:id="252"/>
    </w:p>
    <w:p>
      <w:pPr>
        <w:numPr>
          <w:ilvl w:val="1"/>
          <w:numId w:val="9"/>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pPr>
        <w:numPr>
          <w:ilvl w:val="0"/>
          <w:numId w:val="9"/>
        </w:numPr>
        <w:tabs>
          <w:tab w:val="left" w:pos="360"/>
        </w:tabs>
        <w:snapToGrid w:val="0"/>
        <w:spacing w:line="360" w:lineRule="auto"/>
        <w:outlineLvl w:val="1"/>
        <w:rPr>
          <w:rFonts w:ascii="宋体" w:hAnsi="宋体"/>
          <w:sz w:val="24"/>
        </w:rPr>
      </w:pPr>
      <w:bookmarkStart w:id="253" w:name="_Toc16479"/>
      <w:r>
        <w:rPr>
          <w:rFonts w:hint="eastAsia" w:ascii="宋体" w:hAnsi="宋体"/>
          <w:sz w:val="24"/>
        </w:rPr>
        <w:t>评标报告</w:t>
      </w:r>
      <w:bookmarkEnd w:id="253"/>
    </w:p>
    <w:p>
      <w:pPr>
        <w:numPr>
          <w:ilvl w:val="1"/>
          <w:numId w:val="9"/>
        </w:numPr>
        <w:tabs>
          <w:tab w:val="left" w:pos="1080"/>
        </w:tabs>
        <w:snapToGrid w:val="0"/>
        <w:spacing w:line="360" w:lineRule="auto"/>
        <w:ind w:left="1077" w:hanging="720"/>
        <w:rPr>
          <w:rFonts w:ascii="宋体" w:hAnsi="宋体"/>
          <w:sz w:val="24"/>
        </w:rPr>
      </w:pPr>
      <w:r>
        <w:rPr>
          <w:rFonts w:hint="eastAsia" w:ascii="宋体" w:hAnsi="宋体"/>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tabs>
          <w:tab w:val="left" w:pos="360"/>
          <w:tab w:val="left" w:pos="900"/>
        </w:tabs>
        <w:snapToGrid w:val="0"/>
        <w:spacing w:line="360" w:lineRule="auto"/>
        <w:ind w:left="900"/>
        <w:outlineLvl w:val="1"/>
        <w:rPr>
          <w:rFonts w:ascii="宋体" w:hAnsi="宋体"/>
          <w:sz w:val="24"/>
        </w:rPr>
      </w:pPr>
      <w:r>
        <w:rPr>
          <w:rFonts w:ascii="宋体" w:hAnsi="宋体"/>
          <w:b/>
          <w:sz w:val="24"/>
        </w:rPr>
        <w:br w:type="page"/>
      </w:r>
    </w:p>
    <w:p>
      <w:pPr>
        <w:pStyle w:val="5"/>
        <w:rPr>
          <w:rFonts w:ascii="宋体" w:hAnsi="宋体" w:eastAsia="宋体" w:cs="宋体"/>
        </w:rPr>
      </w:pPr>
      <w:bookmarkStart w:id="254" w:name="_Toc28031"/>
      <w:r>
        <w:rPr>
          <w:rFonts w:hint="eastAsia" w:ascii="宋体" w:hAnsi="宋体" w:eastAsia="宋体" w:cs="宋体"/>
        </w:rPr>
        <w:t>二、评标标准</w:t>
      </w:r>
      <w:bookmarkEnd w:id="254"/>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04"/>
        <w:gridCol w:w="676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pct"/>
            <w:vAlign w:val="center"/>
          </w:tcPr>
          <w:p>
            <w:pPr>
              <w:tabs>
                <w:tab w:val="left" w:pos="432"/>
                <w:tab w:val="left" w:pos="576"/>
              </w:tabs>
              <w:jc w:val="center"/>
              <w:rPr>
                <w:rFonts w:cs="等线"/>
                <w:b/>
                <w:color w:val="000000"/>
              </w:rPr>
            </w:pPr>
            <w:r>
              <w:rPr>
                <w:rFonts w:hint="eastAsia" w:cs="等线"/>
                <w:b/>
                <w:color w:val="000000"/>
              </w:rPr>
              <w:t>序号</w:t>
            </w:r>
          </w:p>
        </w:tc>
        <w:tc>
          <w:tcPr>
            <w:tcW w:w="755" w:type="pct"/>
            <w:vAlign w:val="center"/>
          </w:tcPr>
          <w:p>
            <w:pPr>
              <w:tabs>
                <w:tab w:val="left" w:pos="432"/>
                <w:tab w:val="left" w:pos="576"/>
              </w:tabs>
              <w:jc w:val="center"/>
              <w:rPr>
                <w:rFonts w:cs="等线"/>
                <w:b/>
                <w:color w:val="000000"/>
              </w:rPr>
            </w:pPr>
            <w:r>
              <w:rPr>
                <w:rFonts w:cs="等线"/>
                <w:b/>
                <w:color w:val="000000"/>
              </w:rPr>
              <w:t>名称</w:t>
            </w:r>
          </w:p>
        </w:tc>
        <w:tc>
          <w:tcPr>
            <w:tcW w:w="3399" w:type="pct"/>
            <w:vAlign w:val="center"/>
          </w:tcPr>
          <w:p>
            <w:pPr>
              <w:tabs>
                <w:tab w:val="left" w:pos="432"/>
                <w:tab w:val="left" w:pos="576"/>
              </w:tabs>
              <w:jc w:val="center"/>
              <w:rPr>
                <w:rFonts w:cs="等线"/>
                <w:b/>
                <w:color w:val="000000"/>
              </w:rPr>
            </w:pPr>
            <w:r>
              <w:rPr>
                <w:rFonts w:hint="eastAsia" w:cs="等线"/>
                <w:b/>
                <w:color w:val="000000"/>
              </w:rPr>
              <w:t>评审因素及说明</w:t>
            </w:r>
          </w:p>
        </w:tc>
        <w:tc>
          <w:tcPr>
            <w:tcW w:w="423" w:type="pct"/>
            <w:vAlign w:val="center"/>
          </w:tcPr>
          <w:p>
            <w:pPr>
              <w:tabs>
                <w:tab w:val="left" w:pos="432"/>
                <w:tab w:val="left" w:pos="576"/>
              </w:tabs>
              <w:jc w:val="center"/>
              <w:rPr>
                <w:rFonts w:cs="等线"/>
                <w:b/>
                <w:color w:val="000000"/>
              </w:rPr>
            </w:pPr>
            <w:r>
              <w:rPr>
                <w:rFonts w:hint="eastAsia" w:cs="等线"/>
                <w:b/>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tabs>
                <w:tab w:val="left" w:pos="432"/>
                <w:tab w:val="left" w:pos="576"/>
              </w:tabs>
              <w:jc w:val="center"/>
              <w:rPr>
                <w:rFonts w:cs="等线"/>
                <w:b/>
                <w:color w:val="000000"/>
              </w:rPr>
            </w:pPr>
            <w:r>
              <w:rPr>
                <w:rFonts w:hint="eastAsia" w:cs="等线"/>
                <w:b/>
                <w:color w:val="000000"/>
              </w:rPr>
              <w:t>一、商务部分（</w:t>
            </w:r>
            <w:r>
              <w:rPr>
                <w:rFonts w:cs="等线"/>
                <w:b/>
                <w:color w:val="000000"/>
              </w:rPr>
              <w:t>20</w:t>
            </w:r>
            <w:r>
              <w:rPr>
                <w:rFonts w:hint="eastAsia" w:cs="等线"/>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1.</w:t>
            </w:r>
            <w:r>
              <w:rPr>
                <w:rFonts w:cs="等线"/>
                <w:color w:val="000000"/>
              </w:rPr>
              <w:t>1</w:t>
            </w:r>
          </w:p>
        </w:tc>
        <w:tc>
          <w:tcPr>
            <w:tcW w:w="755" w:type="pct"/>
            <w:vAlign w:val="center"/>
          </w:tcPr>
          <w:p>
            <w:pPr>
              <w:tabs>
                <w:tab w:val="left" w:pos="432"/>
                <w:tab w:val="left" w:pos="576"/>
              </w:tabs>
              <w:jc w:val="center"/>
              <w:rPr>
                <w:rFonts w:cs="等线"/>
                <w:color w:val="000000"/>
              </w:rPr>
            </w:pPr>
            <w:r>
              <w:rPr>
                <w:rFonts w:hint="eastAsia" w:cs="等线"/>
                <w:color w:val="000000"/>
              </w:rPr>
              <w:t>相关业绩</w:t>
            </w:r>
          </w:p>
        </w:tc>
        <w:tc>
          <w:tcPr>
            <w:tcW w:w="3399" w:type="pct"/>
            <w:vAlign w:val="center"/>
          </w:tcPr>
          <w:p>
            <w:pPr>
              <w:tabs>
                <w:tab w:val="left" w:pos="432"/>
                <w:tab w:val="left" w:pos="576"/>
              </w:tabs>
            </w:pPr>
            <w:r>
              <w:rPr>
                <w:rFonts w:hint="eastAsia" w:cs="宋体"/>
                <w:color w:val="000000"/>
              </w:rPr>
              <w:t>考察投标人近2年（投标截止日前24个月，以合同签订日期为准）的同类项目业绩，须提供首、尾页、合同内容页和签字盖章页。每提供一个符合要求的业绩得1分，最高得</w:t>
            </w:r>
            <w:r>
              <w:rPr>
                <w:rFonts w:cs="宋体"/>
                <w:color w:val="000000"/>
              </w:rPr>
              <w:t>2</w:t>
            </w:r>
            <w:r>
              <w:rPr>
                <w:rFonts w:hint="eastAsia" w:cs="宋体"/>
                <w:color w:val="000000"/>
              </w:rPr>
              <w:t>分。</w:t>
            </w:r>
          </w:p>
        </w:tc>
        <w:tc>
          <w:tcPr>
            <w:tcW w:w="423" w:type="pct"/>
            <w:vAlign w:val="center"/>
          </w:tcPr>
          <w:p>
            <w:pPr>
              <w:tabs>
                <w:tab w:val="left" w:pos="432"/>
                <w:tab w:val="left" w:pos="576"/>
              </w:tabs>
              <w:jc w:val="center"/>
              <w:rPr>
                <w:rFonts w:cs="等线"/>
                <w:color w:val="000000"/>
              </w:rPr>
            </w:pPr>
            <w:r>
              <w:rPr>
                <w:rFonts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1</w:t>
            </w:r>
            <w:r>
              <w:rPr>
                <w:rFonts w:cs="等线"/>
                <w:color w:val="000000"/>
              </w:rPr>
              <w:t>.2</w:t>
            </w:r>
          </w:p>
        </w:tc>
        <w:tc>
          <w:tcPr>
            <w:tcW w:w="755" w:type="pct"/>
            <w:vAlign w:val="center"/>
          </w:tcPr>
          <w:p>
            <w:pPr>
              <w:tabs>
                <w:tab w:val="left" w:pos="432"/>
                <w:tab w:val="left" w:pos="576"/>
              </w:tabs>
              <w:jc w:val="center"/>
              <w:rPr>
                <w:rFonts w:cs="等线"/>
                <w:color w:val="000000"/>
              </w:rPr>
            </w:pPr>
            <w:r>
              <w:rPr>
                <w:rFonts w:hint="eastAsia" w:cs="等线"/>
                <w:color w:val="000000"/>
              </w:rPr>
              <w:t>自主研发能力</w:t>
            </w:r>
          </w:p>
        </w:tc>
        <w:tc>
          <w:tcPr>
            <w:tcW w:w="3399" w:type="pct"/>
            <w:vAlign w:val="center"/>
          </w:tcPr>
          <w:p>
            <w:pPr>
              <w:tabs>
                <w:tab w:val="left" w:pos="432"/>
                <w:tab w:val="left" w:pos="576"/>
              </w:tabs>
              <w:rPr>
                <w:rFonts w:cs="宋体"/>
                <w:color w:val="000000"/>
              </w:rPr>
            </w:pPr>
            <w:r>
              <w:rPr>
                <w:rFonts w:hint="eastAsia" w:cs="宋体"/>
                <w:color w:val="000000"/>
              </w:rPr>
              <w:t>提供与本项目相关且自主研发的软件著作权证明（自本项目招标公告发布日之前获取的），如融合式信息服务门户、</w:t>
            </w:r>
            <w:r>
              <w:rPr>
                <w:rFonts w:hint="eastAsia" w:cs="宋体"/>
                <w:color w:val="000000"/>
                <w:lang w:eastAsia="zh-Hans"/>
              </w:rPr>
              <w:t>一张表</w:t>
            </w:r>
            <w:r>
              <w:rPr>
                <w:rFonts w:cs="宋体"/>
                <w:color w:val="000000"/>
                <w:lang w:eastAsia="zh-Hans"/>
              </w:rPr>
              <w:t>、</w:t>
            </w:r>
            <w:r>
              <w:rPr>
                <w:rFonts w:hint="eastAsia" w:cs="宋体"/>
                <w:color w:val="000000"/>
              </w:rPr>
              <w:t>BPMN</w:t>
            </w:r>
            <w:r>
              <w:rPr>
                <w:rFonts w:hint="eastAsia" w:cs="宋体"/>
                <w:color w:val="000000"/>
                <w:lang w:eastAsia="zh-Hans"/>
              </w:rPr>
              <w:t>流程引擎、数据隐私、开发者中心、</w:t>
            </w:r>
            <w:r>
              <w:rPr>
                <w:rFonts w:hint="eastAsia" w:cs="宋体"/>
                <w:color w:val="000000"/>
              </w:rPr>
              <w:t>数据统计分析、数据模型、流程服务数据安全</w:t>
            </w:r>
            <w:r>
              <w:rPr>
                <w:rFonts w:cs="宋体"/>
                <w:color w:val="000000"/>
              </w:rPr>
              <w:t>、智能报表、</w:t>
            </w:r>
            <w:r>
              <w:rPr>
                <w:rFonts w:hint="eastAsia" w:cs="宋体"/>
                <w:color w:val="000000"/>
                <w:lang w:eastAsia="zh-Hans"/>
              </w:rPr>
              <w:t>轻应用</w:t>
            </w:r>
            <w:r>
              <w:rPr>
                <w:rFonts w:hint="eastAsia" w:cs="宋体"/>
                <w:color w:val="000000"/>
              </w:rPr>
              <w:t>等相关内容。</w:t>
            </w:r>
          </w:p>
          <w:p>
            <w:pPr>
              <w:tabs>
                <w:tab w:val="left" w:pos="432"/>
                <w:tab w:val="left" w:pos="576"/>
              </w:tabs>
              <w:rPr>
                <w:rFonts w:cs="等线"/>
                <w:color w:val="000000"/>
              </w:rPr>
            </w:pPr>
            <w:r>
              <w:rPr>
                <w:rFonts w:hint="eastAsia" w:cs="宋体"/>
                <w:color w:val="000000"/>
              </w:rPr>
              <w:t>每提供一个得1分，最高得</w:t>
            </w:r>
            <w:r>
              <w:rPr>
                <w:rFonts w:cs="宋体"/>
                <w:color w:val="000000"/>
              </w:rPr>
              <w:t>10</w:t>
            </w:r>
            <w:r>
              <w:rPr>
                <w:rFonts w:hint="eastAsia" w:cs="宋体"/>
                <w:color w:val="000000"/>
              </w:rPr>
              <w:t>分</w:t>
            </w:r>
            <w:r>
              <w:rPr>
                <w:rFonts w:hint="eastAsia" w:cs="宋体"/>
                <w:color w:val="000000"/>
                <w:lang w:eastAsia="zh-Hans"/>
              </w:rPr>
              <w:t>。</w:t>
            </w:r>
            <w:r>
              <w:rPr>
                <w:rFonts w:hint="eastAsia" w:cs="宋体"/>
                <w:color w:val="000000"/>
              </w:rPr>
              <w:t>（提供复印件并加盖单位公章）</w:t>
            </w:r>
          </w:p>
        </w:tc>
        <w:tc>
          <w:tcPr>
            <w:tcW w:w="423" w:type="pct"/>
            <w:vAlign w:val="center"/>
          </w:tcPr>
          <w:p>
            <w:pPr>
              <w:tabs>
                <w:tab w:val="left" w:pos="432"/>
                <w:tab w:val="left" w:pos="576"/>
              </w:tabs>
              <w:jc w:val="center"/>
              <w:rPr>
                <w:rFonts w:cs="等线"/>
                <w:color w:val="000000"/>
              </w:rPr>
            </w:pPr>
            <w:r>
              <w:rPr>
                <w:rFonts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restart"/>
            <w:vAlign w:val="center"/>
          </w:tcPr>
          <w:p>
            <w:pPr>
              <w:tabs>
                <w:tab w:val="left" w:pos="432"/>
                <w:tab w:val="left" w:pos="576"/>
              </w:tabs>
              <w:jc w:val="center"/>
              <w:rPr>
                <w:rFonts w:cs="等线"/>
                <w:color w:val="000000"/>
              </w:rPr>
            </w:pPr>
            <w:r>
              <w:rPr>
                <w:rFonts w:hint="eastAsia" w:cs="等线"/>
                <w:color w:val="000000"/>
              </w:rPr>
              <w:t>1</w:t>
            </w:r>
            <w:r>
              <w:rPr>
                <w:rFonts w:cs="等线"/>
                <w:color w:val="000000"/>
              </w:rPr>
              <w:t>.</w:t>
            </w:r>
            <w:r>
              <w:rPr>
                <w:rFonts w:hint="eastAsia" w:cs="等线"/>
                <w:color w:val="000000"/>
              </w:rPr>
              <w:t>3</w:t>
            </w:r>
          </w:p>
        </w:tc>
        <w:tc>
          <w:tcPr>
            <w:tcW w:w="755" w:type="pct"/>
            <w:vMerge w:val="restart"/>
            <w:vAlign w:val="center"/>
          </w:tcPr>
          <w:p>
            <w:pPr>
              <w:tabs>
                <w:tab w:val="left" w:pos="432"/>
                <w:tab w:val="left" w:pos="576"/>
              </w:tabs>
              <w:jc w:val="center"/>
              <w:rPr>
                <w:rFonts w:cs="等线"/>
                <w:color w:val="000000"/>
              </w:rPr>
            </w:pPr>
            <w:r>
              <w:rPr>
                <w:rFonts w:hint="eastAsia" w:cs="等线"/>
                <w:color w:val="000000"/>
              </w:rPr>
              <w:t>安全认证</w:t>
            </w:r>
          </w:p>
        </w:tc>
        <w:tc>
          <w:tcPr>
            <w:tcW w:w="3399" w:type="pct"/>
            <w:vAlign w:val="center"/>
          </w:tcPr>
          <w:p>
            <w:pPr>
              <w:tabs>
                <w:tab w:val="left" w:pos="432"/>
                <w:tab w:val="left" w:pos="576"/>
              </w:tabs>
              <w:rPr>
                <w:rFonts w:cs="等线"/>
                <w:color w:val="000000"/>
              </w:rPr>
            </w:pPr>
            <w:r>
              <w:rPr>
                <w:rFonts w:hint="eastAsia" w:cs="等线"/>
                <w:color w:val="000000"/>
                <w:lang w:eastAsia="zh-Hans"/>
              </w:rPr>
              <w:t>与本项目相关的同类</w:t>
            </w:r>
            <w:r>
              <w:rPr>
                <w:rFonts w:hint="eastAsia" w:cs="等线"/>
                <w:color w:val="000000"/>
              </w:rPr>
              <w:t>产品</w:t>
            </w:r>
            <w:r>
              <w:rPr>
                <w:rFonts w:cs="等线"/>
                <w:color w:val="000000"/>
              </w:rPr>
              <w:t>（</w:t>
            </w:r>
            <w:r>
              <w:rPr>
                <w:rFonts w:hint="eastAsia" w:cs="等线"/>
                <w:color w:val="000000"/>
                <w:lang w:eastAsia="zh-Hans"/>
              </w:rPr>
              <w:t>办事大厅</w:t>
            </w:r>
            <w:r>
              <w:rPr>
                <w:rFonts w:cs="等线"/>
                <w:color w:val="000000"/>
                <w:lang w:eastAsia="zh-Hans"/>
              </w:rPr>
              <w:t>、</w:t>
            </w:r>
            <w:r>
              <w:rPr>
                <w:rFonts w:hint="eastAsia" w:cs="等线"/>
                <w:color w:val="000000"/>
                <w:lang w:eastAsia="zh-Hans"/>
              </w:rPr>
              <w:t>一张表</w:t>
            </w:r>
            <w:r>
              <w:rPr>
                <w:rFonts w:cs="等线"/>
                <w:color w:val="000000"/>
                <w:lang w:eastAsia="zh-Hans"/>
              </w:rPr>
              <w:t>、</w:t>
            </w:r>
            <w:r>
              <w:rPr>
                <w:rFonts w:hint="eastAsia" w:cs="等线"/>
                <w:color w:val="000000"/>
                <w:lang w:eastAsia="zh-Hans"/>
              </w:rPr>
              <w:t>移动校园等</w:t>
            </w:r>
            <w:r>
              <w:rPr>
                <w:rFonts w:cs="等线"/>
                <w:color w:val="000000"/>
              </w:rPr>
              <w:t>）</w:t>
            </w:r>
            <w:r>
              <w:rPr>
                <w:rFonts w:hint="eastAsia" w:cs="等线"/>
                <w:color w:val="000000"/>
              </w:rPr>
              <w:t>连续</w:t>
            </w:r>
            <w:r>
              <w:rPr>
                <w:rFonts w:hint="eastAsia" w:cs="等线"/>
                <w:color w:val="000000"/>
                <w:lang w:eastAsia="zh-Hans"/>
              </w:rPr>
              <w:t>三</w:t>
            </w:r>
            <w:r>
              <w:rPr>
                <w:rFonts w:hint="eastAsia" w:cs="等线"/>
                <w:color w:val="000000"/>
              </w:rPr>
              <w:t>年（</w:t>
            </w:r>
            <w:r>
              <w:rPr>
                <w:rFonts w:cs="等线"/>
                <w:color w:val="000000"/>
              </w:rPr>
              <w:t>2020、2021、2022）通过</w:t>
            </w:r>
            <w:r>
              <w:rPr>
                <w:rFonts w:hint="eastAsia" w:cs="等线"/>
                <w:color w:val="000000"/>
                <w:lang w:eastAsia="zh-Hans"/>
              </w:rPr>
              <w:t>国家权威的</w:t>
            </w:r>
            <w:r>
              <w:rPr>
                <w:rFonts w:hint="eastAsia" w:cs="等线"/>
                <w:color w:val="000000"/>
              </w:rPr>
              <w:t>等级保护测评机构进行的系统测评</w:t>
            </w:r>
            <w:r>
              <w:rPr>
                <w:rFonts w:cs="等线"/>
                <w:color w:val="000000"/>
              </w:rPr>
              <w:t>，并获得系统等级测评报告（</w:t>
            </w:r>
            <w:r>
              <w:rPr>
                <w:rFonts w:hint="eastAsia" w:cs="等线"/>
                <w:color w:val="000000"/>
              </w:rPr>
              <w:t>安全保护等级不低于三级</w:t>
            </w:r>
            <w:r>
              <w:rPr>
                <w:rFonts w:cs="等线"/>
                <w:color w:val="000000"/>
              </w:rPr>
              <w:t>）</w:t>
            </w:r>
            <w:r>
              <w:rPr>
                <w:rFonts w:hint="eastAsia" w:cs="等线"/>
                <w:color w:val="000000"/>
                <w:lang w:eastAsia="zh-Hans"/>
              </w:rPr>
              <w:t>得</w:t>
            </w:r>
            <w:r>
              <w:rPr>
                <w:rFonts w:cs="等线"/>
                <w:color w:val="000000"/>
                <w:lang w:eastAsia="zh-Hans"/>
              </w:rPr>
              <w:t>2</w:t>
            </w:r>
            <w:r>
              <w:rPr>
                <w:rFonts w:hint="eastAsia" w:cs="等线"/>
                <w:color w:val="000000"/>
                <w:lang w:eastAsia="zh-Hans"/>
              </w:rPr>
              <w:t>分，有</w:t>
            </w:r>
            <w:r>
              <w:rPr>
                <w:rFonts w:cs="等线"/>
                <w:color w:val="000000"/>
                <w:lang w:eastAsia="zh-Hans"/>
              </w:rPr>
              <w:t>1</w:t>
            </w:r>
            <w:r>
              <w:rPr>
                <w:rFonts w:hint="eastAsia" w:cs="等线"/>
                <w:color w:val="000000"/>
                <w:lang w:eastAsia="zh-Hans"/>
              </w:rPr>
              <w:t>年或没有不得分。</w:t>
            </w:r>
            <w:r>
              <w:rPr>
                <w:rFonts w:hint="eastAsia" w:cs="等线"/>
                <w:color w:val="000000"/>
              </w:rPr>
              <w:t>（提供复印件并加盖单位公章）</w:t>
            </w:r>
          </w:p>
        </w:tc>
        <w:tc>
          <w:tcPr>
            <w:tcW w:w="423" w:type="pct"/>
            <w:vAlign w:val="center"/>
          </w:tcPr>
          <w:p>
            <w:pPr>
              <w:tabs>
                <w:tab w:val="left" w:pos="432"/>
                <w:tab w:val="left" w:pos="576"/>
              </w:tabs>
              <w:jc w:val="center"/>
              <w:rPr>
                <w:rFonts w:cs="等线"/>
                <w:color w:val="000000"/>
              </w:rPr>
            </w:pPr>
            <w:r>
              <w:rPr>
                <w:rFonts w:cs="等线"/>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vAlign w:val="center"/>
          </w:tcPr>
          <w:p>
            <w:pPr>
              <w:tabs>
                <w:tab w:val="left" w:pos="432"/>
                <w:tab w:val="left" w:pos="576"/>
              </w:tabs>
              <w:jc w:val="center"/>
              <w:rPr>
                <w:rFonts w:cs="等线"/>
                <w:color w:val="000000"/>
              </w:rPr>
            </w:pPr>
          </w:p>
        </w:tc>
        <w:tc>
          <w:tcPr>
            <w:tcW w:w="755" w:type="pct"/>
            <w:vMerge w:val="continue"/>
            <w:vAlign w:val="center"/>
          </w:tcPr>
          <w:p>
            <w:pPr>
              <w:tabs>
                <w:tab w:val="left" w:pos="432"/>
                <w:tab w:val="left" w:pos="576"/>
              </w:tabs>
              <w:jc w:val="center"/>
              <w:rPr>
                <w:rFonts w:cs="等线"/>
                <w:color w:val="000000"/>
              </w:rPr>
            </w:pPr>
          </w:p>
        </w:tc>
        <w:tc>
          <w:tcPr>
            <w:tcW w:w="3399" w:type="pct"/>
            <w:vAlign w:val="center"/>
          </w:tcPr>
          <w:p>
            <w:pPr>
              <w:tabs>
                <w:tab w:val="left" w:pos="432"/>
                <w:tab w:val="left" w:pos="576"/>
              </w:tabs>
              <w:rPr>
                <w:rFonts w:cs="等线"/>
                <w:color w:val="000000"/>
              </w:rPr>
            </w:pPr>
            <w:r>
              <w:rPr>
                <w:rFonts w:hint="eastAsia" w:cs="等线"/>
                <w:color w:val="000000"/>
                <w:lang w:eastAsia="zh-Hans"/>
              </w:rPr>
              <w:t>满足连续三年</w:t>
            </w:r>
            <w:r>
              <w:rPr>
                <w:rFonts w:cs="等线"/>
                <w:color w:val="000000"/>
              </w:rPr>
              <w:t>获得系统等级测评报告</w:t>
            </w:r>
            <w:r>
              <w:rPr>
                <w:rFonts w:hint="eastAsia" w:cs="等线"/>
                <w:color w:val="000000"/>
                <w:lang w:eastAsia="zh-Hans"/>
              </w:rPr>
              <w:t>的前提下，</w:t>
            </w:r>
            <w:r>
              <w:rPr>
                <w:rFonts w:cs="等线"/>
                <w:color w:val="000000"/>
              </w:rPr>
              <w:t>测评</w:t>
            </w:r>
            <w:r>
              <w:rPr>
                <w:rFonts w:hint="eastAsia" w:cs="等线"/>
                <w:color w:val="000000"/>
                <w:lang w:eastAsia="zh-Hans"/>
              </w:rPr>
              <w:t>分数</w:t>
            </w:r>
            <w:r>
              <w:rPr>
                <w:rFonts w:cs="等线"/>
                <w:color w:val="000000"/>
                <w:lang w:eastAsia="zh-Hans"/>
              </w:rPr>
              <w:t>9</w:t>
            </w:r>
            <w:r>
              <w:rPr>
                <w:rFonts w:cs="等线"/>
                <w:color w:val="000000"/>
              </w:rPr>
              <w:t>0-100得2分；测评分数75-89，得1分；测评分数60-74，得0分；（</w:t>
            </w:r>
            <w:r>
              <w:rPr>
                <w:rFonts w:hint="eastAsia" w:cs="等线"/>
                <w:color w:val="000000"/>
                <w:lang w:eastAsia="zh-Hans"/>
              </w:rPr>
              <w:t>测评分数按得分最高一年计算，</w:t>
            </w:r>
            <w:r>
              <w:rPr>
                <w:rFonts w:cs="等线"/>
                <w:color w:val="000000"/>
              </w:rPr>
              <w:t>提供复印件并加盖投标人公章）</w:t>
            </w:r>
          </w:p>
        </w:tc>
        <w:tc>
          <w:tcPr>
            <w:tcW w:w="423" w:type="pct"/>
            <w:vAlign w:val="center"/>
          </w:tcPr>
          <w:p>
            <w:pPr>
              <w:tabs>
                <w:tab w:val="left" w:pos="432"/>
                <w:tab w:val="left" w:pos="576"/>
              </w:tabs>
              <w:jc w:val="center"/>
              <w:rPr>
                <w:rFonts w:cs="等线"/>
                <w:color w:val="000000"/>
              </w:rPr>
            </w:pPr>
            <w:r>
              <w:rPr>
                <w:rFonts w:cs="等线"/>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vAlign w:val="center"/>
          </w:tcPr>
          <w:p>
            <w:pPr>
              <w:tabs>
                <w:tab w:val="left" w:pos="432"/>
                <w:tab w:val="left" w:pos="576"/>
              </w:tabs>
              <w:jc w:val="center"/>
              <w:rPr>
                <w:rFonts w:cs="等线"/>
                <w:color w:val="000000"/>
              </w:rPr>
            </w:pPr>
          </w:p>
        </w:tc>
        <w:tc>
          <w:tcPr>
            <w:tcW w:w="755" w:type="pct"/>
            <w:vMerge w:val="continue"/>
            <w:vAlign w:val="center"/>
          </w:tcPr>
          <w:p>
            <w:pPr>
              <w:tabs>
                <w:tab w:val="left" w:pos="432"/>
                <w:tab w:val="left" w:pos="576"/>
              </w:tabs>
              <w:jc w:val="center"/>
              <w:rPr>
                <w:rFonts w:cs="等线"/>
                <w:color w:val="000000"/>
              </w:rPr>
            </w:pPr>
          </w:p>
        </w:tc>
        <w:tc>
          <w:tcPr>
            <w:tcW w:w="3399" w:type="pct"/>
            <w:vAlign w:val="center"/>
          </w:tcPr>
          <w:p>
            <w:pPr>
              <w:tabs>
                <w:tab w:val="left" w:pos="432"/>
                <w:tab w:val="left" w:pos="576"/>
              </w:tabs>
              <w:rPr>
                <w:rFonts w:cs="等线"/>
                <w:color w:val="000000"/>
              </w:rPr>
            </w:pPr>
            <w:r>
              <w:rPr>
                <w:rFonts w:hint="eastAsia" w:cs="宋体"/>
                <w:color w:val="000000"/>
              </w:rPr>
              <w:t>拥有体系化的数据安全、信息安全等相关知识产权或软件著作权的，提供个人数据安全类或平台数据安全类等自主知识产权产品证明，1</w:t>
            </w:r>
            <w:r>
              <w:rPr>
                <w:rFonts w:cs="宋体"/>
                <w:color w:val="000000"/>
              </w:rPr>
              <w:t>5</w:t>
            </w:r>
            <w:r>
              <w:rPr>
                <w:rFonts w:hint="eastAsia" w:cs="宋体"/>
                <w:color w:val="000000"/>
              </w:rPr>
              <w:t>个（含）以上得4分，</w:t>
            </w:r>
            <w:r>
              <w:rPr>
                <w:rFonts w:cs="宋体"/>
                <w:color w:val="000000"/>
              </w:rPr>
              <w:t>10</w:t>
            </w:r>
            <w:r>
              <w:rPr>
                <w:rFonts w:hint="eastAsia" w:cs="宋体"/>
                <w:color w:val="000000"/>
              </w:rPr>
              <w:t>-</w:t>
            </w:r>
            <w:r>
              <w:rPr>
                <w:rFonts w:cs="宋体"/>
                <w:color w:val="000000"/>
              </w:rPr>
              <w:t>14</w:t>
            </w:r>
            <w:r>
              <w:rPr>
                <w:rFonts w:hint="eastAsia" w:cs="宋体"/>
                <w:color w:val="000000"/>
              </w:rPr>
              <w:t>个得3分，</w:t>
            </w:r>
            <w:r>
              <w:rPr>
                <w:rFonts w:cs="宋体"/>
                <w:color w:val="000000"/>
              </w:rPr>
              <w:t>6</w:t>
            </w:r>
            <w:r>
              <w:rPr>
                <w:rFonts w:hint="eastAsia" w:cs="宋体"/>
                <w:color w:val="000000"/>
              </w:rPr>
              <w:t>-</w:t>
            </w:r>
            <w:r>
              <w:rPr>
                <w:rFonts w:cs="宋体"/>
                <w:color w:val="000000"/>
              </w:rPr>
              <w:t>9</w:t>
            </w:r>
            <w:r>
              <w:rPr>
                <w:rFonts w:hint="eastAsia" w:cs="宋体"/>
                <w:color w:val="000000"/>
              </w:rPr>
              <w:t>个得2分，1</w:t>
            </w:r>
            <w:r>
              <w:rPr>
                <w:rFonts w:cs="宋体"/>
                <w:color w:val="000000"/>
              </w:rPr>
              <w:t>-5</w:t>
            </w:r>
            <w:r>
              <w:rPr>
                <w:rFonts w:hint="eastAsia" w:cs="宋体"/>
                <w:color w:val="000000"/>
              </w:rPr>
              <w:t>个得1分，不提供不得分。（提供复印件并加盖单位公章）</w:t>
            </w:r>
          </w:p>
        </w:tc>
        <w:tc>
          <w:tcPr>
            <w:tcW w:w="423" w:type="pct"/>
            <w:vAlign w:val="center"/>
          </w:tcPr>
          <w:p>
            <w:pPr>
              <w:tabs>
                <w:tab w:val="left" w:pos="432"/>
                <w:tab w:val="left" w:pos="576"/>
              </w:tabs>
              <w:jc w:val="center"/>
              <w:rPr>
                <w:rFonts w:cs="等线"/>
                <w:color w:val="000000"/>
              </w:rPr>
            </w:pPr>
            <w:r>
              <w:rPr>
                <w:rFonts w:hint="eastAsia"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tabs>
                <w:tab w:val="left" w:pos="432"/>
                <w:tab w:val="left" w:pos="576"/>
              </w:tabs>
              <w:jc w:val="center"/>
              <w:rPr>
                <w:rFonts w:cs="等线"/>
                <w:b/>
                <w:color w:val="000000"/>
              </w:rPr>
            </w:pPr>
            <w:r>
              <w:rPr>
                <w:rFonts w:hint="eastAsia" w:cs="等线"/>
                <w:b/>
                <w:color w:val="000000"/>
              </w:rPr>
              <w:t>二、技术部分（</w:t>
            </w:r>
            <w:r>
              <w:rPr>
                <w:rFonts w:cs="等线"/>
                <w:b/>
                <w:color w:val="000000"/>
              </w:rPr>
              <w:t>70</w:t>
            </w:r>
            <w:r>
              <w:rPr>
                <w:rFonts w:hint="eastAsia" w:cs="等线"/>
                <w:b/>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2.1</w:t>
            </w:r>
          </w:p>
        </w:tc>
        <w:tc>
          <w:tcPr>
            <w:tcW w:w="755" w:type="pct"/>
            <w:vAlign w:val="center"/>
          </w:tcPr>
          <w:p>
            <w:pPr>
              <w:tabs>
                <w:tab w:val="left" w:pos="432"/>
                <w:tab w:val="left" w:pos="576"/>
              </w:tabs>
              <w:jc w:val="center"/>
              <w:rPr>
                <w:rFonts w:cs="等线"/>
                <w:color w:val="000000"/>
              </w:rPr>
            </w:pPr>
            <w:r>
              <w:rPr>
                <w:rFonts w:hint="eastAsia" w:cs="等线"/>
                <w:color w:val="000000"/>
              </w:rPr>
              <w:t>投标产品对招标文件技术需求书响应程度</w:t>
            </w:r>
          </w:p>
        </w:tc>
        <w:tc>
          <w:tcPr>
            <w:tcW w:w="3399" w:type="pct"/>
            <w:vAlign w:val="center"/>
          </w:tcPr>
          <w:p>
            <w:pPr>
              <w:tabs>
                <w:tab w:val="left" w:pos="432"/>
                <w:tab w:val="left" w:pos="576"/>
              </w:tabs>
              <w:rPr>
                <w:rFonts w:cs="等线"/>
                <w:color w:val="000000"/>
              </w:rPr>
            </w:pPr>
            <w:r>
              <w:rPr>
                <w:rFonts w:hint="eastAsia" w:cs="等线"/>
                <w:color w:val="000000"/>
              </w:rPr>
              <w:t>投标产品对招标文件项目需求的响应程度，完全满足得满分，在此基础上：</w:t>
            </w:r>
          </w:p>
          <w:p>
            <w:pPr>
              <w:tabs>
                <w:tab w:val="left" w:pos="432"/>
                <w:tab w:val="left" w:pos="576"/>
              </w:tabs>
              <w:rPr>
                <w:rFonts w:cs="等线"/>
                <w:color w:val="000000"/>
              </w:rPr>
            </w:pPr>
            <w:r>
              <w:rPr>
                <w:rFonts w:hint="eastAsia" w:cs="等线"/>
                <w:color w:val="000000"/>
              </w:rPr>
              <w:t>标“▲”为重要指标，标“</w:t>
            </w:r>
            <w:r>
              <w:rPr>
                <w:rFonts w:ascii="Segoe UI Symbol" w:hAnsi="Segoe UI Symbol" w:cs="Segoe UI Symbol"/>
              </w:rPr>
              <w:t>★</w:t>
            </w:r>
            <w:r>
              <w:rPr>
                <w:rFonts w:hint="eastAsia" w:cs="等线"/>
                <w:color w:val="000000"/>
              </w:rPr>
              <w:t>”为废标项</w:t>
            </w:r>
          </w:p>
          <w:p>
            <w:pPr>
              <w:tabs>
                <w:tab w:val="left" w:pos="432"/>
                <w:tab w:val="left" w:pos="576"/>
              </w:tabs>
              <w:rPr>
                <w:rFonts w:cs="等线"/>
                <w:color w:val="000000"/>
              </w:rPr>
            </w:pPr>
            <w:r>
              <w:rPr>
                <w:rFonts w:hint="eastAsia" w:cs="等线"/>
                <w:color w:val="000000"/>
              </w:rPr>
              <w:t>（1）重要指标“▲”每有一项指标负偏离扣</w:t>
            </w:r>
            <w:r>
              <w:rPr>
                <w:rFonts w:cs="等线"/>
                <w:color w:val="000000"/>
              </w:rPr>
              <w:t>2</w:t>
            </w:r>
            <w:r>
              <w:rPr>
                <w:rFonts w:hint="eastAsia" w:cs="等线"/>
                <w:color w:val="000000"/>
              </w:rPr>
              <w:t>分；</w:t>
            </w:r>
          </w:p>
          <w:p>
            <w:pPr>
              <w:tabs>
                <w:tab w:val="left" w:pos="432"/>
                <w:tab w:val="left" w:pos="576"/>
              </w:tabs>
              <w:rPr>
                <w:rFonts w:cs="等线"/>
                <w:color w:val="000000"/>
              </w:rPr>
            </w:pPr>
            <w:r>
              <w:rPr>
                <w:rFonts w:hint="eastAsia" w:cs="等线"/>
                <w:color w:val="000000"/>
              </w:rPr>
              <w:t>（2）其他指标每有一项负偏离扣</w:t>
            </w:r>
            <w:r>
              <w:rPr>
                <w:rFonts w:cs="等线"/>
                <w:color w:val="000000"/>
              </w:rPr>
              <w:t>1</w:t>
            </w:r>
            <w:r>
              <w:rPr>
                <w:rFonts w:hint="eastAsia" w:cs="等线"/>
                <w:color w:val="000000"/>
              </w:rPr>
              <w:t>分，扣完为止。</w:t>
            </w:r>
          </w:p>
          <w:p>
            <w:pPr>
              <w:tabs>
                <w:tab w:val="left" w:pos="432"/>
                <w:tab w:val="left" w:pos="576"/>
              </w:tabs>
              <w:rPr>
                <w:rFonts w:cs="等线"/>
                <w:color w:val="000000"/>
              </w:rPr>
            </w:pPr>
            <w:r>
              <w:rPr>
                <w:rFonts w:hint="eastAsia" w:cs="等线"/>
                <w:color w:val="000000"/>
              </w:rPr>
              <w:t>注：投标人须对本招标文件技术要求在偏离表或技术方案中进行响应。</w:t>
            </w:r>
          </w:p>
        </w:tc>
        <w:tc>
          <w:tcPr>
            <w:tcW w:w="423" w:type="pct"/>
            <w:vAlign w:val="center"/>
          </w:tcPr>
          <w:p>
            <w:pPr>
              <w:tabs>
                <w:tab w:val="left" w:pos="432"/>
                <w:tab w:val="left" w:pos="576"/>
              </w:tabs>
              <w:jc w:val="center"/>
              <w:rPr>
                <w:rFonts w:cs="等线"/>
                <w:color w:val="000000"/>
              </w:rPr>
            </w:pPr>
            <w:r>
              <w:rPr>
                <w:rFonts w:cs="等线"/>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2</w:t>
            </w:r>
            <w:r>
              <w:rPr>
                <w:rFonts w:cs="等线"/>
                <w:color w:val="000000"/>
              </w:rPr>
              <w:t>.2</w:t>
            </w:r>
          </w:p>
        </w:tc>
        <w:tc>
          <w:tcPr>
            <w:tcW w:w="755" w:type="pct"/>
            <w:vAlign w:val="center"/>
          </w:tcPr>
          <w:p>
            <w:pPr>
              <w:tabs>
                <w:tab w:val="left" w:pos="432"/>
                <w:tab w:val="left" w:pos="576"/>
              </w:tabs>
              <w:jc w:val="center"/>
              <w:rPr>
                <w:rFonts w:cs="等线"/>
                <w:color w:val="000000"/>
              </w:rPr>
            </w:pPr>
            <w:r>
              <w:rPr>
                <w:rFonts w:hint="eastAsia" w:cs="等线"/>
                <w:color w:val="000000"/>
              </w:rPr>
              <w:t>技术特性</w:t>
            </w:r>
          </w:p>
        </w:tc>
        <w:tc>
          <w:tcPr>
            <w:tcW w:w="3399" w:type="pct"/>
            <w:vAlign w:val="center"/>
          </w:tcPr>
          <w:p>
            <w:pPr>
              <w:tabs>
                <w:tab w:val="left" w:pos="432"/>
                <w:tab w:val="left" w:pos="576"/>
              </w:tabs>
              <w:rPr>
                <w:rFonts w:cs="等线"/>
                <w:color w:val="000000"/>
                <w:lang w:eastAsia="zh-Hans"/>
              </w:rPr>
            </w:pPr>
            <w:r>
              <w:rPr>
                <w:rFonts w:hint="eastAsia" w:cs="等线"/>
                <w:color w:val="000000"/>
              </w:rPr>
              <w:t>投标人需依据实际情况提供系统技术特性，系统兼容性、安全性、可扩展性、开放性、维护性高得</w:t>
            </w:r>
            <w:r>
              <w:rPr>
                <w:rFonts w:cs="等线"/>
                <w:color w:val="000000"/>
              </w:rPr>
              <w:t>7</w:t>
            </w:r>
            <w:r>
              <w:rPr>
                <w:rFonts w:hint="eastAsia" w:cs="等线"/>
                <w:color w:val="000000"/>
              </w:rPr>
              <w:t>分；系统兼容性、安全性、可扩展性、开放性、维护性一般得</w:t>
            </w:r>
            <w:r>
              <w:rPr>
                <w:rFonts w:cs="等线"/>
                <w:color w:val="000000"/>
              </w:rPr>
              <w:t>5</w:t>
            </w:r>
            <w:r>
              <w:rPr>
                <w:rFonts w:hint="eastAsia" w:cs="等线"/>
                <w:color w:val="000000"/>
              </w:rPr>
              <w:t>分；系统兼容性、安全性、可扩展性、开放性、维护性无法体现的得</w:t>
            </w:r>
            <w:r>
              <w:rPr>
                <w:rFonts w:cs="等线"/>
                <w:color w:val="000000"/>
              </w:rPr>
              <w:t>2</w:t>
            </w:r>
            <w:r>
              <w:rPr>
                <w:rFonts w:hint="eastAsia" w:cs="等线"/>
                <w:color w:val="000000"/>
              </w:rPr>
              <w:t>分；未提供方案得0分。</w:t>
            </w:r>
          </w:p>
        </w:tc>
        <w:tc>
          <w:tcPr>
            <w:tcW w:w="423" w:type="pct"/>
            <w:vAlign w:val="center"/>
          </w:tcPr>
          <w:p>
            <w:pPr>
              <w:tabs>
                <w:tab w:val="left" w:pos="432"/>
                <w:tab w:val="left" w:pos="576"/>
              </w:tabs>
              <w:jc w:val="center"/>
              <w:rPr>
                <w:rFonts w:cs="等线"/>
                <w:color w:val="000000"/>
              </w:rPr>
            </w:pPr>
            <w:r>
              <w:rPr>
                <w:rFonts w:cs="等线"/>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restart"/>
            <w:vAlign w:val="center"/>
          </w:tcPr>
          <w:p>
            <w:pPr>
              <w:tabs>
                <w:tab w:val="left" w:pos="432"/>
                <w:tab w:val="left" w:pos="576"/>
              </w:tabs>
              <w:jc w:val="center"/>
              <w:rPr>
                <w:rFonts w:cs="等线"/>
                <w:color w:val="000000"/>
              </w:rPr>
            </w:pPr>
            <w:r>
              <w:rPr>
                <w:rFonts w:hint="eastAsia" w:cs="等线"/>
                <w:color w:val="000000"/>
              </w:rPr>
              <w:t>2.</w:t>
            </w:r>
            <w:r>
              <w:rPr>
                <w:rFonts w:cs="等线"/>
                <w:color w:val="000000"/>
              </w:rPr>
              <w:t>3</w:t>
            </w:r>
          </w:p>
        </w:tc>
        <w:tc>
          <w:tcPr>
            <w:tcW w:w="755" w:type="pct"/>
            <w:vMerge w:val="restart"/>
            <w:vAlign w:val="center"/>
          </w:tcPr>
          <w:p>
            <w:pPr>
              <w:tabs>
                <w:tab w:val="left" w:pos="432"/>
                <w:tab w:val="left" w:pos="576"/>
              </w:tabs>
              <w:jc w:val="center"/>
              <w:rPr>
                <w:rFonts w:cs="等线"/>
                <w:color w:val="000000"/>
              </w:rPr>
            </w:pPr>
            <w:r>
              <w:rPr>
                <w:rFonts w:hint="eastAsia" w:cs="等线"/>
                <w:color w:val="000000"/>
              </w:rPr>
              <w:t>项目实施方案</w:t>
            </w:r>
          </w:p>
        </w:tc>
        <w:tc>
          <w:tcPr>
            <w:tcW w:w="3399" w:type="pct"/>
            <w:vAlign w:val="center"/>
          </w:tcPr>
          <w:p>
            <w:pPr>
              <w:tabs>
                <w:tab w:val="left" w:pos="432"/>
                <w:tab w:val="left" w:pos="576"/>
              </w:tabs>
              <w:rPr>
                <w:rFonts w:cs="等线"/>
                <w:color w:val="000000"/>
              </w:rPr>
            </w:pPr>
            <w:r>
              <w:rPr>
                <w:rFonts w:hint="eastAsia" w:cs="等线"/>
                <w:color w:val="000000"/>
              </w:rPr>
              <w:t>实施方案措施详细、完善、进度合理并完全满足采购需求，得</w:t>
            </w:r>
            <w:r>
              <w:rPr>
                <w:rFonts w:cs="等线"/>
                <w:color w:val="000000"/>
              </w:rPr>
              <w:t>3分；实施方案措施较详细、完善、进度合理并基本满足采购需求，得2分；实施方案措施不详细、有缺陷的，进度不合理得1分；实施方案不能满足采购需要或未提供方案的，得0分。</w:t>
            </w:r>
          </w:p>
        </w:tc>
        <w:tc>
          <w:tcPr>
            <w:tcW w:w="423" w:type="pct"/>
            <w:vAlign w:val="center"/>
          </w:tcPr>
          <w:p>
            <w:pPr>
              <w:tabs>
                <w:tab w:val="left" w:pos="432"/>
                <w:tab w:val="left" w:pos="576"/>
              </w:tabs>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vAlign w:val="center"/>
          </w:tcPr>
          <w:p>
            <w:pPr>
              <w:tabs>
                <w:tab w:val="left" w:pos="432"/>
                <w:tab w:val="left" w:pos="576"/>
              </w:tabs>
              <w:jc w:val="center"/>
              <w:rPr>
                <w:rFonts w:cs="等线"/>
                <w:color w:val="000000"/>
              </w:rPr>
            </w:pPr>
          </w:p>
        </w:tc>
        <w:tc>
          <w:tcPr>
            <w:tcW w:w="755" w:type="pct"/>
            <w:vMerge w:val="continue"/>
            <w:vAlign w:val="center"/>
          </w:tcPr>
          <w:p>
            <w:pPr>
              <w:tabs>
                <w:tab w:val="left" w:pos="432"/>
                <w:tab w:val="left" w:pos="576"/>
              </w:tabs>
              <w:jc w:val="center"/>
              <w:rPr>
                <w:rFonts w:cs="等线"/>
                <w:color w:val="000000"/>
              </w:rPr>
            </w:pPr>
          </w:p>
        </w:tc>
        <w:tc>
          <w:tcPr>
            <w:tcW w:w="3399" w:type="pct"/>
            <w:vAlign w:val="center"/>
          </w:tcPr>
          <w:p>
            <w:pPr>
              <w:tabs>
                <w:tab w:val="left" w:pos="432"/>
                <w:tab w:val="left" w:pos="576"/>
              </w:tabs>
              <w:rPr>
                <w:rFonts w:cs="等线"/>
                <w:color w:val="000000"/>
              </w:rPr>
            </w:pPr>
            <w:r>
              <w:rPr>
                <w:rFonts w:hint="eastAsia" w:cs="等线"/>
                <w:color w:val="000000"/>
              </w:rPr>
              <w:t>项目</w:t>
            </w:r>
            <w:r>
              <w:rPr>
                <w:rFonts w:hint="eastAsia" w:cs="等线"/>
                <w:color w:val="000000"/>
                <w:lang w:eastAsia="zh-Hans"/>
              </w:rPr>
              <w:t>总监</w:t>
            </w:r>
            <w:r>
              <w:rPr>
                <w:rFonts w:hint="eastAsia" w:cs="等线"/>
                <w:color w:val="000000"/>
              </w:rPr>
              <w:t>需要有专业丰富的项目管理实施能力，具备中华人民共和国工业和信息化部和中华人民共和国人力资源和社会保障部联合颁发的《信息系统项目管理师》高级资格证书、中华人民共和国人力资源和社会保障部颁发的《高级项目管理师》资格证书。同时具备得</w:t>
            </w:r>
            <w:r>
              <w:rPr>
                <w:rFonts w:cs="等线"/>
                <w:color w:val="000000"/>
              </w:rPr>
              <w:t>3分，</w:t>
            </w:r>
            <w:r>
              <w:rPr>
                <w:rFonts w:hint="eastAsia" w:cs="等线"/>
                <w:color w:val="000000"/>
              </w:rPr>
              <w:t>具备其中1项得1分，</w:t>
            </w:r>
            <w:r>
              <w:rPr>
                <w:rFonts w:cs="等线"/>
                <w:color w:val="000000"/>
              </w:rPr>
              <w:t>否则得0分。</w:t>
            </w:r>
          </w:p>
          <w:p>
            <w:pPr>
              <w:tabs>
                <w:tab w:val="left" w:pos="432"/>
                <w:tab w:val="left" w:pos="576"/>
              </w:tabs>
              <w:rPr>
                <w:rFonts w:cs="等线"/>
                <w:color w:val="000000"/>
              </w:rPr>
            </w:pPr>
            <w:r>
              <w:rPr>
                <w:rFonts w:hint="eastAsia" w:cs="等线"/>
                <w:color w:val="000000"/>
              </w:rPr>
              <w:t>（提供证书复印件和身份证复印件，项目</w:t>
            </w:r>
            <w:r>
              <w:rPr>
                <w:rFonts w:hint="eastAsia" w:cs="等线"/>
                <w:color w:val="000000"/>
                <w:lang w:eastAsia="zh-Hans"/>
              </w:rPr>
              <w:t>总监</w:t>
            </w:r>
            <w:r>
              <w:rPr>
                <w:rFonts w:hint="eastAsia" w:cs="等线"/>
                <w:color w:val="000000"/>
              </w:rPr>
              <w:t>须为本公司人员</w:t>
            </w:r>
            <w:r>
              <w:rPr>
                <w:rFonts w:hint="eastAsia" w:cs="等线"/>
                <w:color w:val="000000"/>
                <w:lang w:eastAsia="zh-Hans"/>
              </w:rPr>
              <w:t>并提供</w:t>
            </w:r>
            <w:r>
              <w:rPr>
                <w:rFonts w:hint="eastAsia" w:cs="等线"/>
                <w:color w:val="000000"/>
              </w:rPr>
              <w:t>近6个月社保证明材料，</w:t>
            </w:r>
            <w:r>
              <w:rPr>
                <w:rFonts w:hint="eastAsia" w:cs="等线"/>
                <w:color w:val="000000"/>
                <w:lang w:eastAsia="zh-Hans"/>
              </w:rPr>
              <w:t>所提供</w:t>
            </w:r>
            <w:r>
              <w:rPr>
                <w:rFonts w:hint="eastAsia" w:cs="等线"/>
                <w:color w:val="000000"/>
              </w:rPr>
              <w:t>材料须加盖单位公章）</w:t>
            </w:r>
          </w:p>
        </w:tc>
        <w:tc>
          <w:tcPr>
            <w:tcW w:w="423" w:type="pct"/>
            <w:vAlign w:val="center"/>
          </w:tcPr>
          <w:p>
            <w:pPr>
              <w:tabs>
                <w:tab w:val="left" w:pos="432"/>
                <w:tab w:val="left" w:pos="576"/>
              </w:tabs>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Merge w:val="continue"/>
            <w:vAlign w:val="center"/>
          </w:tcPr>
          <w:p>
            <w:pPr>
              <w:tabs>
                <w:tab w:val="left" w:pos="432"/>
                <w:tab w:val="left" w:pos="576"/>
              </w:tabs>
              <w:jc w:val="center"/>
              <w:rPr>
                <w:rFonts w:cs="等线"/>
                <w:color w:val="000000"/>
              </w:rPr>
            </w:pPr>
          </w:p>
        </w:tc>
        <w:tc>
          <w:tcPr>
            <w:tcW w:w="755" w:type="pct"/>
            <w:vMerge w:val="continue"/>
            <w:vAlign w:val="center"/>
          </w:tcPr>
          <w:p>
            <w:pPr>
              <w:tabs>
                <w:tab w:val="left" w:pos="432"/>
                <w:tab w:val="left" w:pos="576"/>
              </w:tabs>
              <w:jc w:val="center"/>
              <w:rPr>
                <w:rFonts w:cs="等线"/>
                <w:color w:val="000000"/>
              </w:rPr>
            </w:pPr>
          </w:p>
        </w:tc>
        <w:tc>
          <w:tcPr>
            <w:tcW w:w="3399" w:type="pct"/>
            <w:vAlign w:val="center"/>
          </w:tcPr>
          <w:p>
            <w:pPr>
              <w:tabs>
                <w:tab w:val="left" w:pos="432"/>
                <w:tab w:val="left" w:pos="576"/>
              </w:tabs>
              <w:rPr>
                <w:rFonts w:cs="等线"/>
                <w:color w:val="000000"/>
                <w:lang w:eastAsia="zh-Hans"/>
              </w:rPr>
            </w:pPr>
            <w:r>
              <w:rPr>
                <w:rFonts w:hint="eastAsia" w:cs="等线"/>
                <w:color w:val="000000"/>
              </w:rPr>
              <w:t>项目经理具备中华人民共和国工业和信息化部和中华人民共和国人力资源和社会保障部联合颁发的《信息系统项目管理师》高级资格证书</w:t>
            </w:r>
            <w:r>
              <w:rPr>
                <w:rFonts w:hint="eastAsia" w:cs="等线"/>
                <w:color w:val="000000"/>
                <w:lang w:eastAsia="zh-Hans"/>
              </w:rPr>
              <w:t>，得</w:t>
            </w:r>
            <w:r>
              <w:rPr>
                <w:rFonts w:cs="等线"/>
                <w:color w:val="000000"/>
                <w:lang w:eastAsia="zh-Hans"/>
              </w:rPr>
              <w:t>1</w:t>
            </w:r>
            <w:r>
              <w:rPr>
                <w:rFonts w:hint="eastAsia" w:cs="等线"/>
                <w:color w:val="000000"/>
                <w:lang w:eastAsia="zh-Hans"/>
              </w:rPr>
              <w:t>分。</w:t>
            </w:r>
          </w:p>
          <w:p>
            <w:pPr>
              <w:tabs>
                <w:tab w:val="left" w:pos="432"/>
                <w:tab w:val="left" w:pos="576"/>
              </w:tabs>
              <w:rPr>
                <w:rFonts w:cs="等线"/>
                <w:color w:val="000000"/>
                <w:lang w:eastAsia="zh-Hans"/>
              </w:rPr>
            </w:pPr>
            <w:r>
              <w:rPr>
                <w:rFonts w:hint="eastAsia" w:cs="等线"/>
                <w:color w:val="000000"/>
              </w:rPr>
              <w:t>（提供证书复印件和身份证复印件，项目经理须为本公司人员</w:t>
            </w:r>
            <w:r>
              <w:rPr>
                <w:rFonts w:hint="eastAsia" w:cs="等线"/>
                <w:color w:val="000000"/>
                <w:lang w:eastAsia="zh-Hans"/>
              </w:rPr>
              <w:t>并提供</w:t>
            </w:r>
            <w:r>
              <w:rPr>
                <w:rFonts w:hint="eastAsia" w:cs="等线"/>
                <w:color w:val="000000"/>
              </w:rPr>
              <w:t>近6个月社保证明材料，</w:t>
            </w:r>
            <w:r>
              <w:rPr>
                <w:rFonts w:hint="eastAsia" w:cs="等线"/>
                <w:color w:val="000000"/>
                <w:lang w:eastAsia="zh-Hans"/>
              </w:rPr>
              <w:t>所提供</w:t>
            </w:r>
            <w:r>
              <w:rPr>
                <w:rFonts w:hint="eastAsia" w:cs="等线"/>
                <w:color w:val="000000"/>
              </w:rPr>
              <w:t>材料须加盖单位公章）</w:t>
            </w:r>
          </w:p>
        </w:tc>
        <w:tc>
          <w:tcPr>
            <w:tcW w:w="423" w:type="pct"/>
            <w:vAlign w:val="center"/>
          </w:tcPr>
          <w:p>
            <w:pPr>
              <w:tabs>
                <w:tab w:val="left" w:pos="432"/>
                <w:tab w:val="left" w:pos="576"/>
              </w:tabs>
              <w:jc w:val="center"/>
              <w:rPr>
                <w:rFonts w:cs="等线"/>
                <w:color w:val="000000"/>
              </w:rPr>
            </w:pPr>
            <w:r>
              <w:rPr>
                <w:rFonts w:cs="等线"/>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2.</w:t>
            </w:r>
            <w:r>
              <w:rPr>
                <w:rFonts w:cs="等线"/>
                <w:color w:val="000000"/>
              </w:rPr>
              <w:t>4</w:t>
            </w:r>
          </w:p>
        </w:tc>
        <w:tc>
          <w:tcPr>
            <w:tcW w:w="755" w:type="pct"/>
            <w:vAlign w:val="center"/>
          </w:tcPr>
          <w:p>
            <w:pPr>
              <w:tabs>
                <w:tab w:val="left" w:pos="432"/>
                <w:tab w:val="left" w:pos="576"/>
              </w:tabs>
              <w:jc w:val="center"/>
              <w:rPr>
                <w:rFonts w:cs="等线"/>
                <w:color w:val="000000"/>
              </w:rPr>
            </w:pPr>
            <w:r>
              <w:rPr>
                <w:rFonts w:hint="eastAsia" w:cs="等线"/>
                <w:color w:val="000000"/>
              </w:rPr>
              <w:t>培训措施</w:t>
            </w:r>
          </w:p>
        </w:tc>
        <w:tc>
          <w:tcPr>
            <w:tcW w:w="3399" w:type="pct"/>
            <w:vAlign w:val="center"/>
          </w:tcPr>
          <w:p>
            <w:pPr>
              <w:tabs>
                <w:tab w:val="left" w:pos="432"/>
                <w:tab w:val="left" w:pos="576"/>
              </w:tabs>
              <w:rPr>
                <w:rFonts w:cs="等线"/>
                <w:color w:val="000000"/>
              </w:rPr>
            </w:pPr>
            <w:r>
              <w:rPr>
                <w:rFonts w:hint="eastAsia" w:cs="宋体"/>
                <w:color w:val="000000"/>
              </w:rPr>
              <w:t>培训方案内容全面、措施有力得3分；培训方案合理得2分，培训方案简单不合理得1分，未提供方案得0分。</w:t>
            </w:r>
          </w:p>
        </w:tc>
        <w:tc>
          <w:tcPr>
            <w:tcW w:w="423" w:type="pct"/>
            <w:vAlign w:val="center"/>
          </w:tcPr>
          <w:p>
            <w:pPr>
              <w:tabs>
                <w:tab w:val="left" w:pos="432"/>
                <w:tab w:val="left" w:pos="576"/>
              </w:tabs>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2.</w:t>
            </w:r>
            <w:r>
              <w:rPr>
                <w:rFonts w:cs="等线"/>
                <w:color w:val="000000"/>
              </w:rPr>
              <w:t>5</w:t>
            </w:r>
          </w:p>
        </w:tc>
        <w:tc>
          <w:tcPr>
            <w:tcW w:w="755" w:type="pct"/>
            <w:vAlign w:val="center"/>
          </w:tcPr>
          <w:p>
            <w:pPr>
              <w:tabs>
                <w:tab w:val="left" w:pos="432"/>
                <w:tab w:val="left" w:pos="576"/>
              </w:tabs>
              <w:jc w:val="center"/>
              <w:rPr>
                <w:rFonts w:cs="等线"/>
                <w:color w:val="000000"/>
              </w:rPr>
            </w:pPr>
            <w:r>
              <w:rPr>
                <w:rFonts w:hint="eastAsia" w:cs="等线"/>
                <w:color w:val="000000"/>
              </w:rPr>
              <w:t>售后服务方案</w:t>
            </w:r>
          </w:p>
        </w:tc>
        <w:tc>
          <w:tcPr>
            <w:tcW w:w="3399" w:type="pct"/>
            <w:vAlign w:val="center"/>
          </w:tcPr>
          <w:p>
            <w:pPr>
              <w:tabs>
                <w:tab w:val="left" w:pos="432"/>
                <w:tab w:val="left" w:pos="576"/>
              </w:tabs>
              <w:rPr>
                <w:rFonts w:cs="等线"/>
                <w:color w:val="000000"/>
              </w:rPr>
            </w:pPr>
            <w:r>
              <w:rPr>
                <w:rFonts w:hint="eastAsia" w:cs="宋体"/>
                <w:color w:val="000000"/>
              </w:rPr>
              <w:t>售后服务方案合理，售后服务体系完善，售后服务优越得3分；售后服务方案基本合理，可基本满足采购需求得2分；售后服务方案简单，针对性不强，仅部分满足采购需求得1分，未提供方案得0分。</w:t>
            </w:r>
          </w:p>
        </w:tc>
        <w:tc>
          <w:tcPr>
            <w:tcW w:w="423" w:type="pct"/>
            <w:vAlign w:val="center"/>
          </w:tcPr>
          <w:p>
            <w:pPr>
              <w:tabs>
                <w:tab w:val="left" w:pos="432"/>
                <w:tab w:val="left" w:pos="576"/>
              </w:tabs>
              <w:jc w:val="center"/>
              <w:rPr>
                <w:rFonts w:cs="等线"/>
                <w:color w:val="000000"/>
              </w:rPr>
            </w:pPr>
            <w:r>
              <w:rPr>
                <w:rFonts w:cs="等线"/>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tabs>
                <w:tab w:val="left" w:pos="432"/>
                <w:tab w:val="left" w:pos="576"/>
              </w:tabs>
              <w:jc w:val="center"/>
              <w:rPr>
                <w:rFonts w:cs="等线"/>
                <w:b/>
                <w:color w:val="000000"/>
              </w:rPr>
            </w:pPr>
            <w:r>
              <w:rPr>
                <w:rFonts w:hint="eastAsia" w:cs="等线"/>
                <w:b/>
                <w:color w:val="000000"/>
              </w:rPr>
              <w:t>三、价格（</w:t>
            </w:r>
            <w:r>
              <w:rPr>
                <w:rFonts w:cs="等线"/>
                <w:b/>
                <w:color w:val="000000"/>
              </w:rPr>
              <w:t>1</w:t>
            </w:r>
            <w:r>
              <w:rPr>
                <w:rFonts w:hint="eastAsia" w:cs="等线"/>
                <w:b/>
                <w:color w:val="00000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tabs>
                <w:tab w:val="left" w:pos="432"/>
                <w:tab w:val="left" w:pos="576"/>
              </w:tabs>
              <w:jc w:val="center"/>
              <w:rPr>
                <w:rFonts w:cs="等线"/>
                <w:color w:val="000000"/>
              </w:rPr>
            </w:pPr>
            <w:r>
              <w:rPr>
                <w:rFonts w:hint="eastAsia" w:cs="等线"/>
                <w:color w:val="000000"/>
              </w:rPr>
              <w:t>3.1</w:t>
            </w:r>
          </w:p>
        </w:tc>
        <w:tc>
          <w:tcPr>
            <w:tcW w:w="755" w:type="pct"/>
            <w:vAlign w:val="center"/>
          </w:tcPr>
          <w:p>
            <w:pPr>
              <w:tabs>
                <w:tab w:val="left" w:pos="432"/>
                <w:tab w:val="left" w:pos="576"/>
              </w:tabs>
              <w:jc w:val="center"/>
              <w:rPr>
                <w:rFonts w:cs="等线"/>
                <w:color w:val="000000"/>
              </w:rPr>
            </w:pPr>
            <w:r>
              <w:rPr>
                <w:rFonts w:cs="等线"/>
                <w:color w:val="000000"/>
              </w:rPr>
              <w:t>价格</w:t>
            </w:r>
          </w:p>
        </w:tc>
        <w:tc>
          <w:tcPr>
            <w:tcW w:w="3399" w:type="pct"/>
            <w:vAlign w:val="center"/>
          </w:tcPr>
          <w:p>
            <w:pPr>
              <w:tabs>
                <w:tab w:val="left" w:pos="432"/>
                <w:tab w:val="left" w:pos="576"/>
              </w:tabs>
              <w:rPr>
                <w:rFonts w:cs="等线"/>
                <w:color w:val="000000"/>
              </w:rPr>
            </w:pPr>
            <w:r>
              <w:rPr>
                <w:rFonts w:hint="eastAsia" w:cs="等线"/>
                <w:color w:val="000000"/>
              </w:rPr>
              <w:t>以符合招标文件要求的最低评标价为基准价，基准价得满分</w:t>
            </w:r>
            <w:r>
              <w:rPr>
                <w:rFonts w:cs="等线"/>
                <w:color w:val="000000"/>
              </w:rPr>
              <w:t>1</w:t>
            </w:r>
            <w:r>
              <w:rPr>
                <w:rFonts w:hint="eastAsia" w:cs="等线"/>
                <w:color w:val="000000"/>
              </w:rPr>
              <w:t>0分，其它投标人的价格得分＝（基准价/该投标人的评标价）×</w:t>
            </w:r>
            <w:r>
              <w:rPr>
                <w:rFonts w:cs="等线"/>
                <w:color w:val="000000"/>
              </w:rPr>
              <w:t>1</w:t>
            </w:r>
            <w:r>
              <w:rPr>
                <w:rFonts w:hint="eastAsia" w:cs="等线"/>
                <w:color w:val="000000"/>
              </w:rPr>
              <w:t>0。</w:t>
            </w:r>
          </w:p>
        </w:tc>
        <w:tc>
          <w:tcPr>
            <w:tcW w:w="423" w:type="pct"/>
            <w:vAlign w:val="center"/>
          </w:tcPr>
          <w:p>
            <w:pPr>
              <w:tabs>
                <w:tab w:val="left" w:pos="432"/>
                <w:tab w:val="left" w:pos="576"/>
              </w:tabs>
              <w:jc w:val="center"/>
              <w:rPr>
                <w:rFonts w:cs="等线"/>
                <w:color w:val="000000"/>
              </w:rPr>
            </w:pPr>
            <w:r>
              <w:rPr>
                <w:rFonts w:cs="等线"/>
                <w:color w:val="000000"/>
              </w:rPr>
              <w:t>1</w:t>
            </w:r>
            <w:r>
              <w:rPr>
                <w:rFonts w:hint="eastAsia" w:cs="等线"/>
                <w:color w:val="000000"/>
              </w:rPr>
              <w:t>0</w:t>
            </w:r>
          </w:p>
        </w:tc>
      </w:tr>
    </w:tbl>
    <w:p>
      <w:pPr>
        <w:rPr>
          <w:rFonts w:ascii="宋体" w:hAnsi="宋体"/>
          <w:sz w:val="24"/>
        </w:rPr>
      </w:pPr>
    </w:p>
    <w:p>
      <w:pPr>
        <w:rPr>
          <w:rFonts w:ascii="宋体" w:hAnsi="宋体"/>
          <w:sz w:val="24"/>
        </w:rPr>
      </w:pPr>
    </w:p>
    <w:p>
      <w:pPr>
        <w:rPr>
          <w:rFonts w:ascii="宋体" w:hAnsi="宋体"/>
          <w:sz w:val="24"/>
        </w:rPr>
      </w:pPr>
    </w:p>
    <w:p>
      <w:pPr>
        <w:pStyle w:val="4"/>
        <w:rPr>
          <w:rFonts w:hAnsi="宋体"/>
          <w:bCs/>
          <w:sz w:val="24"/>
        </w:rPr>
      </w:pPr>
      <w:r>
        <w:rPr>
          <w:rFonts w:hint="eastAsia" w:hAnsi="宋体"/>
          <w:bCs/>
        </w:rPr>
        <w:br w:type="page"/>
      </w:r>
      <w:bookmarkStart w:id="255" w:name="_Toc15643"/>
      <w:r>
        <w:rPr>
          <w:rFonts w:hint="eastAsia" w:hAnsi="宋体"/>
          <w:bCs/>
        </w:rPr>
        <w:t>第五章　采购需求</w:t>
      </w:r>
      <w:bookmarkEnd w:id="255"/>
    </w:p>
    <w:p>
      <w:pPr>
        <w:keepNext/>
        <w:keepLines/>
        <w:tabs>
          <w:tab w:val="left" w:pos="720"/>
        </w:tabs>
        <w:autoSpaceDE w:val="0"/>
        <w:autoSpaceDN w:val="0"/>
        <w:adjustRightInd w:val="0"/>
        <w:spacing w:before="360" w:after="120" w:line="360" w:lineRule="auto"/>
        <w:ind w:firstLine="482" w:firstLineChars="200"/>
        <w:outlineLvl w:val="2"/>
        <w:rPr>
          <w:b/>
          <w:color w:val="000000"/>
          <w:sz w:val="24"/>
        </w:rPr>
      </w:pPr>
      <w:bookmarkStart w:id="256" w:name="_Toc20922"/>
      <w:bookmarkStart w:id="257" w:name="_Toc88839301"/>
      <w:bookmarkStart w:id="258" w:name="_Toc12637"/>
      <w:r>
        <w:rPr>
          <w:rFonts w:hint="eastAsia"/>
          <w:b/>
          <w:color w:val="000000"/>
          <w:sz w:val="24"/>
        </w:rPr>
        <w:t>一、</w:t>
      </w:r>
      <w:r>
        <w:rPr>
          <w:b/>
          <w:color w:val="000000"/>
          <w:sz w:val="24"/>
        </w:rPr>
        <w:t>需求一览表</w:t>
      </w:r>
      <w:bookmarkEnd w:id="256"/>
      <w:bookmarkEnd w:id="257"/>
      <w:bookmarkEnd w:id="258"/>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3690"/>
        <w:gridCol w:w="204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93" w:type="pct"/>
          </w:tcPr>
          <w:p>
            <w:pPr>
              <w:spacing w:line="360" w:lineRule="auto"/>
              <w:ind w:left="420" w:firstLine="240" w:firstLineChars="100"/>
              <w:rPr>
                <w:bCs/>
                <w:color w:val="000000"/>
                <w:sz w:val="24"/>
              </w:rPr>
            </w:pPr>
            <w:r>
              <w:rPr>
                <w:bCs/>
                <w:color w:val="000000"/>
                <w:sz w:val="24"/>
              </w:rPr>
              <w:t>包号</w:t>
            </w:r>
          </w:p>
        </w:tc>
        <w:tc>
          <w:tcPr>
            <w:tcW w:w="1852" w:type="pct"/>
            <w:vAlign w:val="center"/>
          </w:tcPr>
          <w:p>
            <w:pPr>
              <w:spacing w:line="360" w:lineRule="auto"/>
              <w:ind w:left="420"/>
              <w:jc w:val="center"/>
              <w:rPr>
                <w:b/>
                <w:color w:val="000000"/>
                <w:sz w:val="24"/>
              </w:rPr>
            </w:pPr>
            <w:r>
              <w:rPr>
                <w:rFonts w:hint="eastAsia"/>
                <w:b/>
                <w:color w:val="000000"/>
                <w:sz w:val="24"/>
              </w:rPr>
              <w:t>模块</w:t>
            </w:r>
            <w:r>
              <w:rPr>
                <w:b/>
                <w:color w:val="000000"/>
                <w:sz w:val="24"/>
              </w:rPr>
              <w:t>名称</w:t>
            </w:r>
          </w:p>
        </w:tc>
        <w:tc>
          <w:tcPr>
            <w:tcW w:w="1027" w:type="pct"/>
            <w:vAlign w:val="center"/>
          </w:tcPr>
          <w:p>
            <w:pPr>
              <w:spacing w:line="360" w:lineRule="auto"/>
              <w:ind w:left="420"/>
              <w:jc w:val="center"/>
              <w:rPr>
                <w:b/>
                <w:color w:val="000000"/>
                <w:sz w:val="24"/>
              </w:rPr>
            </w:pPr>
            <w:r>
              <w:rPr>
                <w:b/>
                <w:color w:val="000000"/>
                <w:sz w:val="24"/>
              </w:rPr>
              <w:t>数量</w:t>
            </w:r>
          </w:p>
        </w:tc>
        <w:tc>
          <w:tcPr>
            <w:tcW w:w="1027" w:type="pct"/>
            <w:vAlign w:val="center"/>
          </w:tcPr>
          <w:p>
            <w:pPr>
              <w:spacing w:line="360" w:lineRule="auto"/>
              <w:rPr>
                <w:b/>
                <w:color w:val="000000"/>
                <w:sz w:val="24"/>
              </w:rPr>
            </w:pPr>
            <w:r>
              <w:rPr>
                <w:rFonts w:hint="eastAsia" w:ascii="宋体" w:hAnsi="宋体" w:cs="宋体"/>
                <w:b/>
                <w:sz w:val="24"/>
              </w:rPr>
              <w:t>★</w:t>
            </w:r>
            <w:r>
              <w:rPr>
                <w:rFonts w:hint="eastAsia"/>
                <w:b/>
                <w:color w:val="000000"/>
                <w:sz w:val="24"/>
              </w:rPr>
              <w:t>分项控制价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93" w:type="pct"/>
            <w:vMerge w:val="restart"/>
            <w:vAlign w:val="center"/>
          </w:tcPr>
          <w:p>
            <w:pPr>
              <w:spacing w:line="360" w:lineRule="auto"/>
              <w:jc w:val="center"/>
              <w:rPr>
                <w:bCs/>
                <w:color w:val="000000"/>
                <w:sz w:val="24"/>
                <w:lang w:val="zh-TW"/>
              </w:rPr>
            </w:pPr>
            <w:r>
              <w:rPr>
                <w:bCs/>
                <w:color w:val="000000"/>
                <w:sz w:val="24"/>
                <w:lang w:val="zh-TW"/>
              </w:rPr>
              <w:t>01</w:t>
            </w:r>
          </w:p>
        </w:tc>
        <w:tc>
          <w:tcPr>
            <w:tcW w:w="1852" w:type="pct"/>
            <w:vAlign w:val="bottom"/>
          </w:tcPr>
          <w:p>
            <w:pPr>
              <w:spacing w:line="360" w:lineRule="auto"/>
              <w:jc w:val="center"/>
              <w:rPr>
                <w:color w:val="000000"/>
                <w:sz w:val="24"/>
              </w:rPr>
            </w:pPr>
            <w:r>
              <w:rPr>
                <w:rFonts w:hint="eastAsia"/>
                <w:color w:val="000000"/>
                <w:sz w:val="24"/>
              </w:rPr>
              <w:t>办事大厅升级</w:t>
            </w:r>
          </w:p>
        </w:tc>
        <w:tc>
          <w:tcPr>
            <w:tcW w:w="1027" w:type="pct"/>
            <w:vAlign w:val="center"/>
          </w:tcPr>
          <w:p>
            <w:pPr>
              <w:spacing w:line="360" w:lineRule="auto"/>
              <w:jc w:val="center"/>
              <w:rPr>
                <w:color w:val="000000"/>
                <w:sz w:val="24"/>
              </w:rPr>
            </w:pPr>
            <w:r>
              <w:rPr>
                <w:rFonts w:hint="eastAsia"/>
                <w:color w:val="000000"/>
                <w:sz w:val="24"/>
              </w:rPr>
              <w:t>1项</w:t>
            </w:r>
          </w:p>
        </w:tc>
        <w:tc>
          <w:tcPr>
            <w:tcW w:w="1027" w:type="pct"/>
            <w:vMerge w:val="restart"/>
            <w:vAlign w:val="center"/>
          </w:tcPr>
          <w:p>
            <w:pPr>
              <w:spacing w:line="360" w:lineRule="auto"/>
              <w:jc w:val="center"/>
              <w:rPr>
                <w:color w:val="000000"/>
                <w:sz w:val="24"/>
              </w:rPr>
            </w:pPr>
            <w:r>
              <w:rPr>
                <w:rFonts w:hint="eastAsia"/>
                <w:color w:val="000000"/>
                <w:sz w:val="24"/>
              </w:rPr>
              <w:t>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93" w:type="pct"/>
            <w:vMerge w:val="continue"/>
            <w:vAlign w:val="center"/>
          </w:tcPr>
          <w:p>
            <w:pPr>
              <w:spacing w:line="360" w:lineRule="auto"/>
              <w:jc w:val="center"/>
              <w:rPr>
                <w:bCs/>
                <w:color w:val="000000"/>
                <w:sz w:val="24"/>
                <w:lang w:val="zh-TW"/>
              </w:rPr>
            </w:pPr>
            <w:bookmarkStart w:id="259" w:name="_Toc20203"/>
            <w:bookmarkStart w:id="260" w:name="_Toc27590"/>
            <w:bookmarkStart w:id="261" w:name="_Toc88839302"/>
          </w:p>
        </w:tc>
        <w:tc>
          <w:tcPr>
            <w:tcW w:w="1852" w:type="pct"/>
            <w:vAlign w:val="bottom"/>
          </w:tcPr>
          <w:p>
            <w:pPr>
              <w:spacing w:line="360" w:lineRule="auto"/>
              <w:jc w:val="center"/>
              <w:rPr>
                <w:color w:val="000000"/>
                <w:sz w:val="24"/>
              </w:rPr>
            </w:pPr>
            <w:r>
              <w:rPr>
                <w:rFonts w:hint="eastAsia"/>
                <w:color w:val="000000"/>
                <w:sz w:val="24"/>
              </w:rPr>
              <w:t>个人数据中心（一张表系统）建设</w:t>
            </w:r>
          </w:p>
        </w:tc>
        <w:tc>
          <w:tcPr>
            <w:tcW w:w="1027" w:type="pct"/>
            <w:vAlign w:val="center"/>
          </w:tcPr>
          <w:p>
            <w:pPr>
              <w:spacing w:line="360" w:lineRule="auto"/>
              <w:jc w:val="center"/>
              <w:rPr>
                <w:color w:val="000000"/>
                <w:sz w:val="24"/>
              </w:rPr>
            </w:pPr>
            <w:r>
              <w:rPr>
                <w:rFonts w:hint="eastAsia"/>
                <w:color w:val="000000"/>
                <w:sz w:val="24"/>
              </w:rPr>
              <w:t>1项</w:t>
            </w:r>
          </w:p>
        </w:tc>
        <w:tc>
          <w:tcPr>
            <w:tcW w:w="1027" w:type="pct"/>
            <w:vMerge w:val="continue"/>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93" w:type="pct"/>
            <w:vMerge w:val="continue"/>
            <w:vAlign w:val="center"/>
          </w:tcPr>
          <w:p>
            <w:pPr>
              <w:spacing w:line="360" w:lineRule="auto"/>
              <w:jc w:val="center"/>
              <w:rPr>
                <w:bCs/>
                <w:color w:val="000000"/>
                <w:sz w:val="24"/>
                <w:lang w:val="zh-TW"/>
              </w:rPr>
            </w:pPr>
          </w:p>
        </w:tc>
        <w:tc>
          <w:tcPr>
            <w:tcW w:w="1852" w:type="pct"/>
            <w:vAlign w:val="bottom"/>
          </w:tcPr>
          <w:p>
            <w:pPr>
              <w:spacing w:line="360" w:lineRule="auto"/>
              <w:jc w:val="center"/>
              <w:rPr>
                <w:color w:val="000000"/>
                <w:sz w:val="24"/>
              </w:rPr>
            </w:pPr>
            <w:r>
              <w:rPr>
                <w:rFonts w:hint="eastAsia"/>
                <w:color w:val="000000"/>
                <w:sz w:val="24"/>
              </w:rPr>
              <w:t>一网通办门户</w:t>
            </w:r>
          </w:p>
        </w:tc>
        <w:tc>
          <w:tcPr>
            <w:tcW w:w="1027" w:type="pct"/>
            <w:vAlign w:val="center"/>
          </w:tcPr>
          <w:p>
            <w:pPr>
              <w:spacing w:line="360" w:lineRule="auto"/>
              <w:jc w:val="center"/>
              <w:rPr>
                <w:color w:val="000000"/>
                <w:sz w:val="24"/>
              </w:rPr>
            </w:pPr>
            <w:r>
              <w:rPr>
                <w:rFonts w:hint="eastAsia"/>
                <w:color w:val="000000"/>
                <w:sz w:val="24"/>
              </w:rPr>
              <w:t>1项</w:t>
            </w:r>
          </w:p>
        </w:tc>
        <w:tc>
          <w:tcPr>
            <w:tcW w:w="1027" w:type="pct"/>
            <w:vMerge w:val="restart"/>
            <w:vAlign w:val="center"/>
          </w:tcPr>
          <w:p>
            <w:pPr>
              <w:spacing w:line="360" w:lineRule="auto"/>
              <w:jc w:val="center"/>
              <w:rPr>
                <w:color w:val="000000"/>
                <w:sz w:val="24"/>
              </w:rPr>
            </w:pPr>
            <w:r>
              <w:rPr>
                <w:rFonts w:hint="eastAsia"/>
                <w:color w:val="000000"/>
                <w:sz w:val="24"/>
              </w:rPr>
              <w:t>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93" w:type="pct"/>
            <w:vMerge w:val="continue"/>
            <w:vAlign w:val="center"/>
          </w:tcPr>
          <w:p>
            <w:pPr>
              <w:spacing w:line="360" w:lineRule="auto"/>
              <w:jc w:val="center"/>
              <w:rPr>
                <w:bCs/>
                <w:color w:val="000000"/>
                <w:sz w:val="24"/>
                <w:lang w:val="zh-TW"/>
              </w:rPr>
            </w:pPr>
          </w:p>
        </w:tc>
        <w:tc>
          <w:tcPr>
            <w:tcW w:w="1852" w:type="pct"/>
            <w:vAlign w:val="bottom"/>
          </w:tcPr>
          <w:p>
            <w:pPr>
              <w:spacing w:line="360" w:lineRule="auto"/>
              <w:jc w:val="center"/>
              <w:rPr>
                <w:color w:val="000000"/>
                <w:sz w:val="24"/>
              </w:rPr>
            </w:pPr>
            <w:r>
              <w:rPr>
                <w:rFonts w:hint="eastAsia"/>
                <w:color w:val="000000"/>
                <w:sz w:val="24"/>
              </w:rPr>
              <w:t>移动校园应用</w:t>
            </w:r>
          </w:p>
        </w:tc>
        <w:tc>
          <w:tcPr>
            <w:tcW w:w="1027" w:type="pct"/>
            <w:vAlign w:val="center"/>
          </w:tcPr>
          <w:p>
            <w:pPr>
              <w:spacing w:line="360" w:lineRule="auto"/>
              <w:jc w:val="center"/>
              <w:rPr>
                <w:color w:val="000000"/>
                <w:sz w:val="24"/>
              </w:rPr>
            </w:pPr>
            <w:r>
              <w:rPr>
                <w:rFonts w:hint="eastAsia"/>
                <w:color w:val="000000"/>
                <w:sz w:val="24"/>
              </w:rPr>
              <w:t>1项</w:t>
            </w:r>
          </w:p>
        </w:tc>
        <w:tc>
          <w:tcPr>
            <w:tcW w:w="1027" w:type="pct"/>
            <w:vMerge w:val="continue"/>
            <w:vAlign w:val="center"/>
          </w:tcPr>
          <w:p>
            <w:pPr>
              <w:spacing w:line="360" w:lineRule="auto"/>
              <w:jc w:val="center"/>
              <w:rPr>
                <w:color w:val="000000"/>
                <w:sz w:val="24"/>
              </w:rPr>
            </w:pPr>
          </w:p>
        </w:tc>
      </w:tr>
    </w:tbl>
    <w:p>
      <w:pPr>
        <w:keepNext/>
        <w:keepLines/>
        <w:tabs>
          <w:tab w:val="left" w:pos="720"/>
        </w:tabs>
        <w:autoSpaceDE w:val="0"/>
        <w:autoSpaceDN w:val="0"/>
        <w:adjustRightInd w:val="0"/>
        <w:spacing w:before="360" w:after="120" w:line="360" w:lineRule="auto"/>
        <w:ind w:firstLine="482" w:firstLineChars="200"/>
        <w:outlineLvl w:val="2"/>
        <w:rPr>
          <w:b/>
          <w:color w:val="000000"/>
          <w:sz w:val="24"/>
        </w:rPr>
      </w:pPr>
      <w:r>
        <w:rPr>
          <w:rFonts w:hint="eastAsia"/>
          <w:b/>
          <w:color w:val="000000"/>
          <w:sz w:val="24"/>
        </w:rPr>
        <w:t>注：</w:t>
      </w:r>
      <w:r>
        <w:rPr>
          <w:rFonts w:hint="eastAsia" w:ascii="宋体" w:hAnsi="宋体" w:cs="宋体"/>
          <w:b/>
          <w:color w:val="000000"/>
          <w:sz w:val="24"/>
        </w:rPr>
        <w:t>★</w:t>
      </w:r>
      <w:r>
        <w:rPr>
          <w:rFonts w:hint="eastAsia"/>
          <w:b/>
          <w:color w:val="000000"/>
          <w:sz w:val="24"/>
        </w:rPr>
        <w:t>报价要求：要求投标人在分项报价时必须按照四个模块进行拆分报价，其中前两个模块，即办事大厅升级和个人数据中心（一张表系统）建设两项分项价格之和不得超出90万元；后两个模块，即一网通办门户和移动校园应用两项分项价格之和不得超出90万元。要求以上投标报价已包含本项目从开始到实施完毕至维保期结束的各类费用。</w:t>
      </w:r>
    </w:p>
    <w:p>
      <w:pPr>
        <w:keepNext/>
        <w:keepLines/>
        <w:tabs>
          <w:tab w:val="left" w:pos="720"/>
        </w:tabs>
        <w:autoSpaceDE w:val="0"/>
        <w:autoSpaceDN w:val="0"/>
        <w:adjustRightInd w:val="0"/>
        <w:spacing w:before="360" w:after="120" w:line="360" w:lineRule="auto"/>
        <w:ind w:firstLine="482" w:firstLineChars="200"/>
        <w:outlineLvl w:val="2"/>
        <w:rPr>
          <w:b/>
          <w:color w:val="000000"/>
          <w:sz w:val="24"/>
        </w:rPr>
      </w:pPr>
      <w:r>
        <w:rPr>
          <w:rFonts w:hint="eastAsia"/>
          <w:b/>
          <w:color w:val="000000"/>
          <w:sz w:val="24"/>
        </w:rPr>
        <w:t>二、技术规格</w:t>
      </w:r>
      <w:bookmarkEnd w:id="259"/>
      <w:bookmarkEnd w:id="260"/>
      <w:bookmarkEnd w:id="261"/>
    </w:p>
    <w:p>
      <w:pPr>
        <w:spacing w:line="360" w:lineRule="auto"/>
        <w:ind w:firstLine="482" w:firstLineChars="200"/>
        <w:rPr>
          <w:rFonts w:ascii="宋体" w:hAnsi="宋体"/>
          <w:b/>
          <w:sz w:val="24"/>
        </w:rPr>
      </w:pPr>
      <w:r>
        <w:rPr>
          <w:rFonts w:hint="eastAsia" w:ascii="宋体" w:hAnsi="宋体" w:cs="宋体"/>
          <w:b/>
          <w:sz w:val="24"/>
        </w:rPr>
        <w:t>★</w:t>
      </w:r>
      <w:r>
        <w:rPr>
          <w:rFonts w:hint="eastAsia" w:ascii="宋体" w:hAnsi="宋体"/>
          <w:b/>
          <w:sz w:val="24"/>
        </w:rPr>
        <w:t>投标产品须符合国家有关部门的强制性规定或要求。</w:t>
      </w:r>
    </w:p>
    <w:p>
      <w:pPr>
        <w:spacing w:line="360" w:lineRule="auto"/>
        <w:ind w:firstLine="482" w:firstLineChars="200"/>
        <w:rPr>
          <w:rFonts w:ascii="宋体" w:hAnsi="宋体" w:cs="宋体"/>
          <w:b/>
          <w:sz w:val="24"/>
        </w:rPr>
      </w:pPr>
      <w:r>
        <w:rPr>
          <w:rFonts w:hint="eastAsia" w:ascii="宋体" w:hAnsi="宋体" w:cs="宋体"/>
          <w:b/>
          <w:sz w:val="24"/>
        </w:rPr>
        <w:t>★号条款为实质响应条款，▲条款为重要技术条款。</w:t>
      </w:r>
    </w:p>
    <w:p>
      <w:pPr>
        <w:keepNext/>
        <w:keepLines/>
        <w:tabs>
          <w:tab w:val="left" w:pos="720"/>
        </w:tabs>
        <w:autoSpaceDE w:val="0"/>
        <w:autoSpaceDN w:val="0"/>
        <w:adjustRightInd w:val="0"/>
        <w:spacing w:before="360" w:after="120" w:line="360" w:lineRule="auto"/>
        <w:ind w:firstLine="482" w:firstLineChars="200"/>
        <w:outlineLvl w:val="2"/>
        <w:rPr>
          <w:b/>
          <w:color w:val="000000"/>
          <w:sz w:val="24"/>
        </w:rPr>
      </w:pPr>
      <w:r>
        <w:rPr>
          <w:rFonts w:hint="eastAsia"/>
          <w:b/>
          <w:color w:val="000000"/>
          <w:sz w:val="24"/>
        </w:rPr>
        <w:t xml:space="preserve">01包  </w:t>
      </w:r>
      <w:bookmarkStart w:id="262" w:name="_Toc30124"/>
      <w:r>
        <w:rPr>
          <w:rFonts w:hint="eastAsia"/>
          <w:b/>
          <w:color w:val="000000"/>
          <w:sz w:val="24"/>
        </w:rPr>
        <w:t>一网通办系统开发</w:t>
      </w:r>
    </w:p>
    <w:p>
      <w:pPr>
        <w:keepNext/>
        <w:keepLines/>
        <w:numPr>
          <w:ilvl w:val="0"/>
          <w:numId w:val="10"/>
        </w:numPr>
        <w:adjustRightInd w:val="0"/>
        <w:snapToGrid w:val="0"/>
        <w:spacing w:after="156" w:line="360" w:lineRule="auto"/>
        <w:ind w:firstLine="200"/>
        <w:jc w:val="left"/>
        <w:outlineLvl w:val="0"/>
        <w:rPr>
          <w:rFonts w:ascii="宋体" w:hAnsi="宋体"/>
          <w:b/>
          <w:bCs/>
          <w:kern w:val="44"/>
          <w:sz w:val="28"/>
          <w:szCs w:val="28"/>
        </w:rPr>
      </w:pPr>
      <w:bookmarkStart w:id="263" w:name="_Toc279732273"/>
      <w:bookmarkStart w:id="264" w:name="_Toc279072498"/>
      <w:bookmarkStart w:id="265" w:name="_Toc530648110"/>
      <w:bookmarkStart w:id="266" w:name="_Toc515222830"/>
      <w:bookmarkStart w:id="267" w:name="_Hlk68780996"/>
      <w:r>
        <w:rPr>
          <w:rFonts w:hint="eastAsia" w:ascii="宋体" w:hAnsi="宋体"/>
          <w:b/>
          <w:bCs/>
          <w:kern w:val="44"/>
          <w:sz w:val="28"/>
          <w:szCs w:val="28"/>
        </w:rPr>
        <w:t>项目概况</w:t>
      </w:r>
      <w:bookmarkEnd w:id="263"/>
      <w:bookmarkEnd w:id="264"/>
      <w:bookmarkEnd w:id="265"/>
      <w:bookmarkEnd w:id="266"/>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lang w:eastAsia="zh-Hans"/>
        </w:rPr>
        <w:t>项目概况</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中国地质大学（北京）于2</w:t>
      </w:r>
      <w:r>
        <w:rPr>
          <w:rFonts w:ascii="宋体" w:hAnsi="宋体"/>
          <w:sz w:val="24"/>
          <w:szCs w:val="21"/>
        </w:rPr>
        <w:t>021</w:t>
      </w:r>
      <w:r>
        <w:rPr>
          <w:rFonts w:hint="eastAsia" w:ascii="宋体" w:hAnsi="宋体"/>
          <w:sz w:val="24"/>
          <w:szCs w:val="21"/>
        </w:rPr>
        <w:t>年、2</w:t>
      </w:r>
      <w:r>
        <w:rPr>
          <w:rFonts w:ascii="宋体" w:hAnsi="宋体"/>
          <w:sz w:val="24"/>
          <w:szCs w:val="21"/>
        </w:rPr>
        <w:t>022</w:t>
      </w:r>
      <w:r>
        <w:rPr>
          <w:rFonts w:hint="eastAsia" w:ascii="宋体" w:hAnsi="宋体"/>
          <w:sz w:val="24"/>
          <w:szCs w:val="21"/>
        </w:rPr>
        <w:t>年建设了网上办事大厅一期和二期，将9</w:t>
      </w:r>
      <w:r>
        <w:rPr>
          <w:rFonts w:ascii="宋体" w:hAnsi="宋体"/>
          <w:sz w:val="24"/>
          <w:szCs w:val="21"/>
        </w:rPr>
        <w:t>0</w:t>
      </w:r>
      <w:r>
        <w:rPr>
          <w:rFonts w:hint="eastAsia" w:ascii="宋体" w:hAnsi="宋体"/>
          <w:sz w:val="24"/>
          <w:szCs w:val="21"/>
        </w:rPr>
        <w:t>多个线下办事事项流程经梳理优化后搬至线上，并且在2</w:t>
      </w:r>
      <w:r>
        <w:rPr>
          <w:rFonts w:ascii="宋体" w:hAnsi="宋体"/>
          <w:sz w:val="24"/>
          <w:szCs w:val="21"/>
        </w:rPr>
        <w:t>022</w:t>
      </w:r>
      <w:r>
        <w:rPr>
          <w:rFonts w:hint="eastAsia" w:ascii="宋体" w:hAnsi="宋体"/>
          <w:sz w:val="24"/>
          <w:szCs w:val="21"/>
        </w:rPr>
        <w:t>年建设了移动校园门户，提高了师生办事效率，提升了师生信息化服务体验。</w:t>
      </w:r>
    </w:p>
    <w:p>
      <w:pPr>
        <w:spacing w:after="120" w:line="360" w:lineRule="auto"/>
        <w:ind w:firstLine="480" w:firstLineChars="200"/>
        <w:rPr>
          <w:rFonts w:ascii="宋体" w:hAnsi="宋体"/>
          <w:sz w:val="24"/>
          <w:szCs w:val="21"/>
        </w:rPr>
      </w:pPr>
      <w:r>
        <w:rPr>
          <w:rFonts w:hint="eastAsia" w:ascii="宋体" w:hAnsi="宋体"/>
          <w:sz w:val="24"/>
          <w:szCs w:val="21"/>
        </w:rPr>
        <w:t>随着业务的发展和师生信息化素养的提高，学校各职能部门及广大师生对于校园信息化应用和服务提出了更高的要求。仍有部分线下办事事项及资源预约事项需要进驻网上办事大厅的需求；教职工个人关心和经常使用的各类信息分散在各信息系统，尚未进行彻底整合，在进行综合类业务填报时仍存在重复填报、反复填表问题，一张表系统的建设已经成为非常迫切的需求；学校现有信息门户功能较为单一，内嵌的应用服务不够丰富，不利于师生便捷地使用常用功能、获取有效资源信息，移动门户中的移动端应用也需要拓展丰富，同时需要将信息门户和移动门户的后台进行统一整合。</w:t>
      </w:r>
    </w:p>
    <w:p>
      <w:pPr>
        <w:spacing w:after="120" w:line="360" w:lineRule="auto"/>
        <w:ind w:firstLine="480" w:firstLineChars="200"/>
        <w:rPr>
          <w:rFonts w:ascii="宋体" w:hAnsi="宋体"/>
          <w:sz w:val="24"/>
          <w:szCs w:val="21"/>
        </w:rPr>
      </w:pPr>
      <w:r>
        <w:rPr>
          <w:rFonts w:hint="eastAsia" w:ascii="宋体" w:hAnsi="宋体"/>
          <w:sz w:val="24"/>
          <w:szCs w:val="21"/>
        </w:rPr>
        <w:t>基于学校信息化当前建设基础，为满足以上建设需求，考虑建设一网通办：一是升级网上办事大厅，进驻、优化更多办事事项；二是构建教师一张表，解决教职工重复填报、反复填表问题；三是建设融合信息门户，汇聚资讯中心、服务中心、应用中心、个人数据中心、资源中心、统一消息中心、统一任务中心、日程中心于一体；四是升级“掌上北地”移动门户，丰富移动端应用，并且实现其后台与融合信息门户后台一体化管理。</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rPr>
        <w:t>建设原则</w:t>
      </w:r>
    </w:p>
    <w:p>
      <w:pPr>
        <w:adjustRightInd w:val="0"/>
        <w:snapToGrid w:val="0"/>
        <w:spacing w:line="360" w:lineRule="auto"/>
        <w:ind w:firstLine="480" w:firstLineChars="200"/>
        <w:rPr>
          <w:rFonts w:ascii="宋体" w:hAnsi="宋体"/>
          <w:sz w:val="24"/>
          <w:szCs w:val="21"/>
        </w:rPr>
      </w:pPr>
      <w:bookmarkStart w:id="268" w:name="_Toc279072499"/>
      <w:bookmarkStart w:id="269" w:name="_Toc279732274"/>
      <w:bookmarkStart w:id="270" w:name="_Hlk68781252"/>
      <w:r>
        <w:rPr>
          <w:rFonts w:hint="eastAsia" w:ascii="宋体" w:hAnsi="宋体"/>
          <w:sz w:val="24"/>
          <w:szCs w:val="21"/>
        </w:rPr>
        <w:t>1、</w:t>
      </w:r>
      <w:r>
        <w:rPr>
          <w:rFonts w:ascii="宋体" w:hAnsi="宋体"/>
          <w:sz w:val="24"/>
          <w:szCs w:val="21"/>
        </w:rPr>
        <w:t>先进性和实用性</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采用基于</w:t>
      </w:r>
      <w:r>
        <w:rPr>
          <w:rFonts w:ascii="宋体" w:hAnsi="宋体"/>
          <w:sz w:val="24"/>
          <w:szCs w:val="21"/>
        </w:rPr>
        <w:t>BPMN 2.0的跨平台服务门户，利用先进管理方法和IT技术手段，建立标准、规范行为、优化环境、完善手段，改造和优化现有的服务管理模式，服务好师生。实现学校的行政管理职能从权利向责任、无限向有限、管理向服务的观念转变，助推教育信息化。系统设计既要采用超前思维，先进技术和系统工程方法，又要注意思维的合理性，技术的可行性，方法的正确性。系统的设计，能反映当今的先进技术和理念。系统提供的能力、内容和服务目标用户群会随业务发展而调整，管理手段和措施也会随时间推移而逐步完善；新技术的应用、新类型终端的支持和新</w:t>
      </w:r>
      <w:r>
        <w:rPr>
          <w:rFonts w:hint="eastAsia" w:ascii="宋体" w:hAnsi="宋体"/>
          <w:sz w:val="24"/>
          <w:szCs w:val="21"/>
        </w:rPr>
        <w:t>系统的引入等会在系统生命周期内不断的提出。因此系统采用面向未来发展的架构设计，以支持各种可以预见的变化。</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标准化和规范性</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建设技术路线充分支持学校数字校园统筹规划的应用需求和未来发展，符合并遵守学校制定的教育信息化技术规范、软件设计与开发规范、软件设计开发标准等标准规范要求。要通过扁平化的信息资源索引体系、各部门间横向的信息资源导航体系以及集中式的信息共享集成体系，把分散的学校各部门的信息资源合理的整合，再通过网络向师生提供主动的、引导式的信息共享服务模式。让校内用户享受到一次性完成或一步到位的便捷服务，不再需要东奔西走，以节省时间，提高效率，适应现代人快节奏、高效率的要求。</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w:t>
      </w:r>
      <w:r>
        <w:rPr>
          <w:rFonts w:ascii="宋体" w:hAnsi="宋体"/>
          <w:sz w:val="24"/>
          <w:szCs w:val="21"/>
        </w:rPr>
        <w:t>可靠性和稳定性</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系统可实现多类型终端对接和联动；在高负载的情况下系统能够保证业务的可用性；在局部故障发生时可以保证整体业务的连续性，即达到</w:t>
      </w:r>
      <w:r>
        <w:rPr>
          <w:rFonts w:ascii="宋体" w:hAnsi="宋体"/>
          <w:sz w:val="24"/>
          <w:szCs w:val="21"/>
        </w:rPr>
        <w:t>7*24小时的可用性；系统具备公网访问能力；产品具有良好的可管理性和可维护性，便于日常运行维护和管理。</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w:t>
      </w:r>
      <w:r>
        <w:rPr>
          <w:rFonts w:ascii="宋体" w:hAnsi="宋体"/>
          <w:sz w:val="24"/>
          <w:szCs w:val="21"/>
        </w:rPr>
        <w:t>可扩展性和开放性</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的软硬件环境具备良好的平滑可扩充性，以适应持续不断的新的应用系统和信息资源的集成。能够支持跨平台、分布式环境运行，能够为后期自主开发提供足够空间。提供相关接口，与数字校园平台、移动门户等其他系统整合，可根据其他系统的数据资源需求，为其他系统提供必要信息。</w:t>
      </w:r>
    </w:p>
    <w:p>
      <w:pPr>
        <w:adjustRightInd w:val="0"/>
        <w:snapToGrid w:val="0"/>
        <w:spacing w:line="360" w:lineRule="auto"/>
        <w:ind w:firstLine="480" w:firstLineChars="200"/>
        <w:rPr>
          <w:rFonts w:ascii="宋体" w:hAnsi="宋体"/>
          <w:sz w:val="24"/>
          <w:szCs w:val="21"/>
        </w:rPr>
      </w:pPr>
      <w:r>
        <w:rPr>
          <w:rFonts w:ascii="宋体" w:hAnsi="宋体"/>
          <w:sz w:val="24"/>
          <w:szCs w:val="21"/>
        </w:rPr>
        <w:t>5</w:t>
      </w:r>
      <w:r>
        <w:rPr>
          <w:rFonts w:hint="eastAsia" w:ascii="宋体" w:hAnsi="宋体"/>
          <w:sz w:val="24"/>
          <w:szCs w:val="21"/>
        </w:rPr>
        <w:t>、</w:t>
      </w:r>
      <w:r>
        <w:rPr>
          <w:rFonts w:ascii="宋体" w:hAnsi="宋体"/>
          <w:sz w:val="24"/>
          <w:szCs w:val="21"/>
        </w:rPr>
        <w:t>可管理性和可维护性</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由多个部分组成系统便于日常运行维护和管理，具有良好的可管理性和可维护性。打造为学校师生量身定制的一站式大厅，解决师生在学习和生活中遇到的各种困难。改变师生遇到问题不知如何处理、如何办理的情况，同时对个人数据进行展现、修改、审批，更好地实现学校师生管理理念由“管理型”向“教育、管理、服务”并重型的方向转变，提升学校提供服务的效率和质量，将学校的师生服务工作提到一个新的水平和层次。</w:t>
      </w:r>
    </w:p>
    <w:p>
      <w:pPr>
        <w:adjustRightInd w:val="0"/>
        <w:snapToGrid w:val="0"/>
        <w:spacing w:line="360" w:lineRule="auto"/>
        <w:ind w:firstLine="480" w:firstLineChars="200"/>
        <w:rPr>
          <w:rFonts w:ascii="宋体" w:hAnsi="宋体"/>
          <w:sz w:val="24"/>
          <w:szCs w:val="21"/>
        </w:rPr>
      </w:pPr>
      <w:r>
        <w:rPr>
          <w:rFonts w:ascii="宋体" w:hAnsi="宋体"/>
          <w:sz w:val="24"/>
          <w:szCs w:val="21"/>
        </w:rPr>
        <w:t>6</w:t>
      </w:r>
      <w:r>
        <w:rPr>
          <w:rFonts w:hint="eastAsia" w:ascii="宋体" w:hAnsi="宋体"/>
          <w:sz w:val="24"/>
          <w:szCs w:val="21"/>
        </w:rPr>
        <w:t>、</w:t>
      </w:r>
      <w:r>
        <w:rPr>
          <w:rFonts w:ascii="宋体" w:hAnsi="宋体"/>
          <w:sz w:val="24"/>
          <w:szCs w:val="21"/>
        </w:rPr>
        <w:t>安全性和保密性</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按照系统性、立体性设计思路，在系统硬件、网络、数据库、应用操作权限、数据权限、身份认证方面，提供全面的、多级别的安全防护设计方案；采取措施进行包括系统安全机制、安全策略、数据存取的权限控制等保护；能完成跨业务部门的业务流程和相对应的细颗粒度的分级授权体系；保证用户的合法性和用户使用应用信息资源的权力，避免内部敏感信息泄漏和服务所提供的信息资源被非法访问；建立数据完整性检验机制，保证收发双方数据的一致性，防止信息被非授权修改。</w:t>
      </w:r>
    </w:p>
    <w:p>
      <w:pPr>
        <w:adjustRightInd w:val="0"/>
        <w:snapToGrid w:val="0"/>
        <w:spacing w:line="360" w:lineRule="auto"/>
        <w:ind w:firstLine="480" w:firstLineChars="200"/>
        <w:rPr>
          <w:rFonts w:ascii="宋体" w:hAnsi="宋体"/>
          <w:sz w:val="24"/>
          <w:szCs w:val="21"/>
        </w:rPr>
      </w:pPr>
    </w:p>
    <w:p>
      <w:pPr>
        <w:keepNext/>
        <w:keepLines/>
        <w:numPr>
          <w:ilvl w:val="0"/>
          <w:numId w:val="10"/>
        </w:numPr>
        <w:adjustRightInd w:val="0"/>
        <w:snapToGrid w:val="0"/>
        <w:spacing w:after="156" w:line="360" w:lineRule="auto"/>
        <w:ind w:firstLine="200"/>
        <w:jc w:val="left"/>
        <w:outlineLvl w:val="0"/>
        <w:rPr>
          <w:rFonts w:ascii="宋体" w:hAnsi="宋体"/>
          <w:b/>
          <w:bCs/>
          <w:kern w:val="44"/>
          <w:sz w:val="28"/>
          <w:szCs w:val="28"/>
        </w:rPr>
      </w:pPr>
      <w:r>
        <w:rPr>
          <w:rFonts w:hint="eastAsia" w:ascii="宋体" w:hAnsi="宋体"/>
          <w:b/>
          <w:bCs/>
          <w:kern w:val="44"/>
          <w:sz w:val="28"/>
          <w:szCs w:val="28"/>
        </w:rPr>
        <w:t>功能要求</w:t>
      </w:r>
    </w:p>
    <w:p>
      <w:pPr>
        <w:keepNext/>
        <w:keepLines/>
        <w:numPr>
          <w:ilvl w:val="1"/>
          <w:numId w:val="10"/>
        </w:numPr>
        <w:adjustRightInd w:val="0"/>
        <w:snapToGrid w:val="0"/>
        <w:spacing w:line="360" w:lineRule="auto"/>
        <w:ind w:left="0" w:firstLine="200"/>
        <w:jc w:val="left"/>
        <w:outlineLvl w:val="1"/>
        <w:rPr>
          <w:rFonts w:ascii="宋体" w:hAnsi="Cambria"/>
          <w:b/>
          <w:bCs/>
          <w:sz w:val="24"/>
        </w:rPr>
      </w:pPr>
      <w:bookmarkStart w:id="271" w:name="_Toc530648118"/>
      <w:bookmarkStart w:id="272" w:name="_Toc515222838"/>
      <w:r>
        <w:rPr>
          <w:rFonts w:hint="eastAsia" w:ascii="宋体" w:hAnsi="Cambria"/>
          <w:b/>
          <w:bCs/>
          <w:sz w:val="24"/>
          <w:lang w:eastAsia="zh-Hans"/>
        </w:rPr>
        <w:t>办事大厅升级</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为了提高“网上办事大厅”应用和服务的使用效率，提升师生信息化应用的服务体验，本期项目建设重点是进一步增加改造应用服务，优化使用过程和增加应用功能，增加对于流程数据的沉淀使用，主要内容包括：网上办事大厅底层平台的</w:t>
      </w:r>
      <w:r>
        <w:rPr>
          <w:rFonts w:hint="eastAsia" w:ascii="宋体" w:hAnsi="宋体"/>
          <w:sz w:val="24"/>
          <w:szCs w:val="21"/>
        </w:rPr>
        <w:t>功能新增</w:t>
      </w:r>
      <w:r>
        <w:rPr>
          <w:rFonts w:ascii="宋体" w:hAnsi="宋体"/>
          <w:sz w:val="24"/>
          <w:szCs w:val="21"/>
          <w:lang w:eastAsia="zh-Hans"/>
        </w:rPr>
        <w:t>，包含审批流程服务对应功能的开发</w:t>
      </w:r>
      <w:r>
        <w:rPr>
          <w:rFonts w:hint="eastAsia" w:ascii="宋体" w:hAnsi="宋体"/>
          <w:sz w:val="24"/>
          <w:szCs w:val="21"/>
        </w:rPr>
        <w:t>功能新增</w:t>
      </w:r>
      <w:r>
        <w:rPr>
          <w:rFonts w:ascii="宋体" w:hAnsi="宋体"/>
          <w:sz w:val="24"/>
          <w:szCs w:val="21"/>
          <w:lang w:eastAsia="zh-Hans"/>
        </w:rPr>
        <w:t>、对表单设计的属性</w:t>
      </w:r>
      <w:r>
        <w:rPr>
          <w:rFonts w:hint="eastAsia" w:ascii="宋体" w:hAnsi="宋体"/>
          <w:sz w:val="24"/>
          <w:szCs w:val="21"/>
        </w:rPr>
        <w:t>功能新增</w:t>
      </w:r>
      <w:r>
        <w:rPr>
          <w:rFonts w:ascii="宋体" w:hAnsi="宋体"/>
          <w:sz w:val="24"/>
          <w:szCs w:val="21"/>
          <w:lang w:eastAsia="zh-Hans"/>
        </w:rPr>
        <w:t>、流程设计的权限</w:t>
      </w:r>
      <w:r>
        <w:rPr>
          <w:rFonts w:hint="eastAsia" w:ascii="宋体" w:hAnsi="宋体"/>
          <w:sz w:val="24"/>
          <w:szCs w:val="21"/>
        </w:rPr>
        <w:t>功能新增</w:t>
      </w:r>
      <w:r>
        <w:rPr>
          <w:rFonts w:ascii="宋体" w:hAnsi="宋体"/>
          <w:sz w:val="24"/>
          <w:szCs w:val="21"/>
          <w:lang w:eastAsia="zh-Hans"/>
        </w:rPr>
        <w:t>、报表设计的管理</w:t>
      </w:r>
      <w:r>
        <w:rPr>
          <w:rFonts w:hint="eastAsia" w:ascii="宋体" w:hAnsi="宋体"/>
          <w:sz w:val="24"/>
          <w:szCs w:val="21"/>
        </w:rPr>
        <w:t>功能新增</w:t>
      </w:r>
      <w:r>
        <w:rPr>
          <w:rFonts w:ascii="宋体" w:hAnsi="宋体"/>
          <w:sz w:val="24"/>
          <w:szCs w:val="21"/>
          <w:lang w:eastAsia="zh-Hans"/>
        </w:rPr>
        <w:t>、审批数据配置的低代码</w:t>
      </w:r>
      <w:r>
        <w:rPr>
          <w:rFonts w:hint="eastAsia" w:ascii="宋体" w:hAnsi="宋体"/>
          <w:sz w:val="24"/>
          <w:szCs w:val="21"/>
        </w:rPr>
        <w:t>功能新增</w:t>
      </w:r>
      <w:r>
        <w:rPr>
          <w:rFonts w:ascii="宋体" w:hAnsi="宋体"/>
          <w:sz w:val="24"/>
          <w:szCs w:val="21"/>
          <w:lang w:eastAsia="zh-Hans"/>
        </w:rPr>
        <w:t>、界面用户体验</w:t>
      </w:r>
      <w:r>
        <w:rPr>
          <w:rFonts w:hint="eastAsia" w:ascii="宋体" w:hAnsi="宋体"/>
          <w:sz w:val="24"/>
          <w:szCs w:val="21"/>
        </w:rPr>
        <w:t>改版</w:t>
      </w:r>
      <w:r>
        <w:rPr>
          <w:rFonts w:ascii="宋体" w:hAnsi="宋体"/>
          <w:sz w:val="24"/>
          <w:szCs w:val="21"/>
          <w:lang w:eastAsia="zh-Hans"/>
        </w:rPr>
        <w:t>优化设计、数据源管理、流程服务增加从而满足目前我校各部门业务的流程化管理需求，适应学校未来业务的发展需求。</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ascii="宋体" w:hAnsi="宋体"/>
          <w:b/>
          <w:bCs/>
          <w:sz w:val="24"/>
        </w:rPr>
        <w:t>界面改版</w:t>
      </w:r>
    </w:p>
    <w:p>
      <w:pPr>
        <w:adjustRightInd w:val="0"/>
        <w:snapToGrid w:val="0"/>
        <w:spacing w:line="360" w:lineRule="auto"/>
        <w:ind w:firstLine="480" w:firstLineChars="200"/>
        <w:rPr>
          <w:rFonts w:ascii="宋体" w:hAnsi="宋体"/>
          <w:sz w:val="24"/>
          <w:szCs w:val="21"/>
          <w:lang w:eastAsia="zh-Hans"/>
        </w:rPr>
      </w:pPr>
      <w:r>
        <w:rPr>
          <w:rFonts w:hint="eastAsia" w:ascii="宋体" w:hAnsi="宋体"/>
          <w:sz w:val="24"/>
          <w:szCs w:val="21"/>
          <w:lang w:eastAsia="zh-Hans"/>
        </w:rPr>
        <w:t>对现有办事大厅PC端、移动端</w:t>
      </w:r>
      <w:r>
        <w:rPr>
          <w:rFonts w:ascii="宋体" w:hAnsi="宋体"/>
          <w:sz w:val="24"/>
          <w:szCs w:val="21"/>
          <w:lang w:eastAsia="zh-Hans"/>
        </w:rPr>
        <w:t>、</w:t>
      </w:r>
      <w:r>
        <w:rPr>
          <w:rFonts w:hint="eastAsia" w:ascii="宋体" w:hAnsi="宋体"/>
          <w:sz w:val="24"/>
          <w:szCs w:val="21"/>
          <w:lang w:eastAsia="zh-Hans"/>
        </w:rPr>
        <w:t>管理端界面进行改版升级</w:t>
      </w:r>
      <w:r>
        <w:rPr>
          <w:rFonts w:ascii="宋体" w:hAnsi="宋体"/>
          <w:sz w:val="24"/>
          <w:szCs w:val="21"/>
          <w:lang w:eastAsia="zh-Hans"/>
        </w:rPr>
        <w:t>，</w:t>
      </w:r>
      <w:r>
        <w:rPr>
          <w:rFonts w:hint="eastAsia" w:ascii="宋体" w:hAnsi="宋体"/>
          <w:sz w:val="24"/>
          <w:szCs w:val="21"/>
          <w:lang w:eastAsia="zh-Hans"/>
        </w:rPr>
        <w:t>改版后的办事大厅拥有更加大气的UI界面</w:t>
      </w:r>
      <w:r>
        <w:rPr>
          <w:rFonts w:ascii="宋体" w:hAnsi="宋体"/>
          <w:sz w:val="24"/>
          <w:szCs w:val="21"/>
          <w:lang w:eastAsia="zh-Hans"/>
        </w:rPr>
        <w:t>、</w:t>
      </w:r>
      <w:r>
        <w:rPr>
          <w:rFonts w:hint="eastAsia" w:ascii="宋体" w:hAnsi="宋体"/>
          <w:sz w:val="24"/>
          <w:szCs w:val="21"/>
          <w:lang w:eastAsia="zh-Hans"/>
        </w:rPr>
        <w:t>并沿袭现有用户的使用习惯</w:t>
      </w:r>
      <w:r>
        <w:rPr>
          <w:rFonts w:ascii="宋体" w:hAnsi="宋体"/>
          <w:sz w:val="24"/>
          <w:szCs w:val="21"/>
          <w:lang w:eastAsia="zh-Hans"/>
        </w:rPr>
        <w:t>，</w:t>
      </w:r>
      <w:r>
        <w:rPr>
          <w:rFonts w:hint="eastAsia" w:ascii="宋体" w:hAnsi="宋体"/>
          <w:sz w:val="24"/>
          <w:szCs w:val="21"/>
          <w:lang w:eastAsia="zh-Hans"/>
        </w:rPr>
        <w:t>可实现</w:t>
      </w:r>
      <w:r>
        <w:rPr>
          <w:rFonts w:hint="eastAsia" w:ascii="宋体" w:hAnsi="宋体" w:cs="宋体"/>
          <w:kern w:val="0"/>
          <w:sz w:val="24"/>
          <w:szCs w:val="21"/>
          <w:lang w:bidi="ar"/>
        </w:rPr>
        <w:t>全场景办事服务</w:t>
      </w:r>
      <w:r>
        <w:rPr>
          <w:rFonts w:ascii="宋体" w:hAnsi="宋体" w:cs="宋体"/>
          <w:kern w:val="0"/>
          <w:sz w:val="24"/>
          <w:szCs w:val="21"/>
          <w:lang w:bidi="ar"/>
        </w:rPr>
        <w:t>。</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ascii="宋体" w:hAnsi="宋体"/>
          <w:b/>
          <w:bCs/>
          <w:sz w:val="24"/>
        </w:rPr>
        <w:t>表单设计属性功能新增</w:t>
      </w:r>
    </w:p>
    <w:p>
      <w:pPr>
        <w:adjustRightInd w:val="0"/>
        <w:snapToGrid w:val="0"/>
        <w:spacing w:line="360" w:lineRule="auto"/>
        <w:ind w:firstLine="480" w:firstLineChars="200"/>
        <w:rPr>
          <w:rFonts w:ascii="宋体" w:hAnsi="宋体"/>
          <w:sz w:val="24"/>
          <w:szCs w:val="21"/>
        </w:rPr>
      </w:pPr>
      <w:r>
        <w:rPr>
          <w:rFonts w:ascii="宋体" w:hAnsi="宋体"/>
          <w:sz w:val="24"/>
          <w:szCs w:val="21"/>
        </w:rPr>
        <w:t>1）表单数据优化，表单数据大小进行优化，</w:t>
      </w:r>
      <w:r>
        <w:rPr>
          <w:rFonts w:hint="eastAsia" w:ascii="宋体" w:hAnsi="宋体"/>
          <w:sz w:val="24"/>
          <w:szCs w:val="21"/>
        </w:rPr>
        <w:t>提升</w:t>
      </w:r>
      <w:r>
        <w:rPr>
          <w:rFonts w:ascii="宋体" w:hAnsi="宋体"/>
          <w:sz w:val="24"/>
          <w:szCs w:val="21"/>
        </w:rPr>
        <w:t>表单</w:t>
      </w:r>
      <w:r>
        <w:rPr>
          <w:rFonts w:hint="eastAsia" w:ascii="宋体" w:hAnsi="宋体"/>
          <w:sz w:val="24"/>
          <w:szCs w:val="21"/>
        </w:rPr>
        <w:t>速度</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lang w:eastAsia="zh-Hans"/>
        </w:rPr>
        <w:t>新增</w:t>
      </w:r>
      <w:r>
        <w:rPr>
          <w:rFonts w:ascii="宋体" w:hAnsi="宋体"/>
          <w:sz w:val="24"/>
          <w:szCs w:val="21"/>
        </w:rPr>
        <w:t>条形码控件。</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rPr>
        <w:t>3）</w:t>
      </w:r>
      <w:r>
        <w:rPr>
          <w:rFonts w:hint="eastAsia" w:ascii="宋体" w:hAnsi="宋体"/>
          <w:sz w:val="24"/>
          <w:szCs w:val="21"/>
          <w:lang w:eastAsia="zh-Hans"/>
        </w:rPr>
        <w:t>新增</w:t>
      </w:r>
      <w:r>
        <w:rPr>
          <w:rFonts w:ascii="宋体" w:hAnsi="宋体"/>
          <w:sz w:val="24"/>
          <w:szCs w:val="21"/>
        </w:rPr>
        <w:t>签名控件，支持手写</w:t>
      </w:r>
      <w:r>
        <w:rPr>
          <w:rFonts w:hint="eastAsia" w:ascii="宋体" w:hAnsi="宋体"/>
          <w:sz w:val="24"/>
          <w:szCs w:val="21"/>
          <w:lang w:eastAsia="zh-Hans"/>
        </w:rPr>
        <w:t>签名</w:t>
      </w:r>
      <w:r>
        <w:rPr>
          <w:rFonts w:ascii="宋体" w:hAnsi="宋体"/>
          <w:sz w:val="24"/>
          <w:szCs w:val="21"/>
          <w:lang w:eastAsia="zh-Hans"/>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w:t>
      </w:r>
      <w:r>
        <w:rPr>
          <w:rFonts w:hint="eastAsia" w:ascii="宋体" w:hAnsi="宋体"/>
          <w:sz w:val="24"/>
          <w:szCs w:val="21"/>
          <w:lang w:eastAsia="zh-Hans"/>
        </w:rPr>
        <w:t>新增</w:t>
      </w:r>
      <w:r>
        <w:rPr>
          <w:rFonts w:ascii="宋体" w:hAnsi="宋体"/>
          <w:sz w:val="24"/>
          <w:szCs w:val="21"/>
        </w:rPr>
        <w:t>OCR</w:t>
      </w:r>
      <w:r>
        <w:rPr>
          <w:rFonts w:hint="eastAsia" w:ascii="宋体" w:hAnsi="宋体"/>
          <w:sz w:val="24"/>
          <w:szCs w:val="21"/>
          <w:lang w:eastAsia="zh-Hans"/>
        </w:rPr>
        <w:t>控件</w:t>
      </w:r>
      <w:r>
        <w:rPr>
          <w:rFonts w:ascii="宋体" w:hAnsi="宋体"/>
          <w:sz w:val="24"/>
          <w:szCs w:val="21"/>
        </w:rPr>
        <w:t>，自</w:t>
      </w:r>
      <w:r>
        <w:rPr>
          <w:rFonts w:hint="eastAsia" w:ascii="宋体" w:hAnsi="宋体"/>
          <w:sz w:val="24"/>
          <w:szCs w:val="21"/>
          <w:lang w:eastAsia="zh-Hans"/>
        </w:rPr>
        <w:t>可</w:t>
      </w:r>
      <w:r>
        <w:rPr>
          <w:rFonts w:ascii="宋体" w:hAnsi="宋体"/>
          <w:sz w:val="24"/>
          <w:szCs w:val="21"/>
        </w:rPr>
        <w:t>动识别发票、身份证。</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ascii="宋体" w:hAnsi="宋体"/>
          <w:b/>
          <w:bCs/>
          <w:sz w:val="24"/>
        </w:rPr>
        <w:t>流程引擎功能及权限新增</w:t>
      </w:r>
    </w:p>
    <w:p>
      <w:pPr>
        <w:adjustRightInd w:val="0"/>
        <w:snapToGrid w:val="0"/>
        <w:spacing w:line="360" w:lineRule="auto"/>
        <w:ind w:firstLine="480" w:firstLineChars="200"/>
        <w:rPr>
          <w:rFonts w:ascii="宋体" w:hAnsi="宋体"/>
          <w:sz w:val="24"/>
          <w:szCs w:val="21"/>
        </w:rPr>
      </w:pPr>
      <w:r>
        <w:rPr>
          <w:rFonts w:ascii="宋体" w:hAnsi="宋体"/>
          <w:sz w:val="24"/>
          <w:szCs w:val="21"/>
        </w:rPr>
        <w:t>1）支持流程图审批节点提示：</w:t>
      </w:r>
      <w:r>
        <w:rPr>
          <w:rFonts w:hint="eastAsia" w:ascii="宋体" w:hAnsi="宋体"/>
          <w:sz w:val="24"/>
          <w:szCs w:val="21"/>
          <w:lang w:eastAsia="zh-Hans"/>
        </w:rPr>
        <w:t>可</w:t>
      </w:r>
      <w:r>
        <w:rPr>
          <w:rFonts w:ascii="宋体" w:hAnsi="宋体"/>
          <w:sz w:val="24"/>
          <w:szCs w:val="21"/>
        </w:rPr>
        <w:t>提示流程当前节点。</w:t>
      </w:r>
    </w:p>
    <w:p>
      <w:pPr>
        <w:adjustRightInd w:val="0"/>
        <w:snapToGrid w:val="0"/>
        <w:spacing w:line="360" w:lineRule="auto"/>
        <w:ind w:firstLine="480" w:firstLineChars="200"/>
        <w:rPr>
          <w:rFonts w:ascii="宋体" w:hAnsi="宋体"/>
          <w:sz w:val="24"/>
          <w:szCs w:val="21"/>
        </w:rPr>
      </w:pPr>
      <w:r>
        <w:rPr>
          <w:rFonts w:ascii="宋体" w:hAnsi="宋体"/>
          <w:sz w:val="24"/>
          <w:szCs w:val="21"/>
        </w:rPr>
        <w:t>2）支持审批完成动作增加关闭页面动作。</w:t>
      </w:r>
    </w:p>
    <w:p>
      <w:pPr>
        <w:adjustRightInd w:val="0"/>
        <w:snapToGrid w:val="0"/>
        <w:spacing w:line="360" w:lineRule="auto"/>
        <w:ind w:firstLine="480" w:firstLineChars="200"/>
        <w:rPr>
          <w:rFonts w:ascii="宋体" w:hAnsi="宋体"/>
          <w:sz w:val="24"/>
          <w:szCs w:val="21"/>
        </w:rPr>
      </w:pPr>
      <w:r>
        <w:rPr>
          <w:rFonts w:ascii="宋体" w:hAnsi="宋体"/>
          <w:sz w:val="24"/>
          <w:szCs w:val="21"/>
        </w:rPr>
        <w:t>3）支持代发起权限选择机构（部门、岗位、标签）。</w:t>
      </w:r>
    </w:p>
    <w:p>
      <w:pPr>
        <w:adjustRightInd w:val="0"/>
        <w:snapToGrid w:val="0"/>
        <w:spacing w:line="360" w:lineRule="auto"/>
        <w:ind w:firstLine="480" w:firstLineChars="200"/>
        <w:rPr>
          <w:rFonts w:ascii="宋体" w:hAnsi="宋体"/>
          <w:sz w:val="24"/>
          <w:szCs w:val="21"/>
        </w:rPr>
      </w:pPr>
      <w:r>
        <w:rPr>
          <w:rFonts w:ascii="宋体" w:hAnsi="宋体"/>
          <w:sz w:val="24"/>
          <w:szCs w:val="21"/>
        </w:rPr>
        <w:t>4）支持发起和审批变成快捷打印（前端），如果是“云打印” 直接弹出下载pdf的弹窗，不用打开预览页。</w:t>
      </w:r>
    </w:p>
    <w:p>
      <w:pPr>
        <w:adjustRightInd w:val="0"/>
        <w:snapToGrid w:val="0"/>
        <w:spacing w:line="360" w:lineRule="auto"/>
        <w:ind w:firstLine="480" w:firstLineChars="200"/>
        <w:rPr>
          <w:rFonts w:ascii="宋体" w:hAnsi="宋体"/>
          <w:sz w:val="24"/>
          <w:szCs w:val="21"/>
        </w:rPr>
      </w:pPr>
      <w:r>
        <w:rPr>
          <w:rFonts w:ascii="宋体" w:hAnsi="宋体"/>
          <w:sz w:val="24"/>
          <w:szCs w:val="21"/>
        </w:rPr>
        <w:t>5）</w:t>
      </w:r>
      <w:r>
        <w:rPr>
          <w:rFonts w:hint="eastAsia" w:ascii="宋体" w:hAnsi="宋体"/>
          <w:sz w:val="24"/>
          <w:szCs w:val="21"/>
        </w:rPr>
        <w:t>▲</w:t>
      </w:r>
      <w:r>
        <w:rPr>
          <w:rFonts w:ascii="宋体" w:hAnsi="宋体"/>
          <w:sz w:val="24"/>
          <w:szCs w:val="21"/>
        </w:rPr>
        <w:t>支持Bpmn信号事件。</w:t>
      </w:r>
    </w:p>
    <w:p>
      <w:pPr>
        <w:adjustRightInd w:val="0"/>
        <w:snapToGrid w:val="0"/>
        <w:spacing w:line="360" w:lineRule="auto"/>
        <w:ind w:firstLine="480" w:firstLineChars="200"/>
        <w:rPr>
          <w:rFonts w:ascii="宋体" w:hAnsi="宋体"/>
          <w:sz w:val="24"/>
          <w:szCs w:val="21"/>
        </w:rPr>
      </w:pPr>
      <w:r>
        <w:rPr>
          <w:rFonts w:ascii="宋体" w:hAnsi="宋体"/>
          <w:sz w:val="24"/>
          <w:szCs w:val="21"/>
        </w:rPr>
        <w:t>6）支持收回功能：（收回给节点所有审批人）该节点的所有审批人都能收到任务，继续审批；（收回给节点上次审批人）只有执行收回动作的审批人能收到任务。</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ascii="宋体" w:hAnsi="宋体"/>
          <w:b/>
          <w:bCs/>
          <w:sz w:val="24"/>
        </w:rPr>
        <w:t>报表功能新增</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w:t>
      </w:r>
      <w:r>
        <w:rPr>
          <w:rFonts w:ascii="宋体" w:hAnsi="宋体"/>
          <w:sz w:val="24"/>
          <w:szCs w:val="21"/>
        </w:rPr>
        <w:t>支持用户自定义报表，类型分为普通报表、采集报表、SQL报表、第三方报表。</w:t>
      </w:r>
    </w:p>
    <w:p>
      <w:pPr>
        <w:adjustRightInd w:val="0"/>
        <w:snapToGrid w:val="0"/>
        <w:spacing w:line="360" w:lineRule="auto"/>
        <w:ind w:firstLine="480" w:firstLineChars="200"/>
        <w:rPr>
          <w:rFonts w:ascii="宋体" w:hAnsi="宋体"/>
          <w:sz w:val="24"/>
          <w:szCs w:val="21"/>
        </w:rPr>
      </w:pPr>
      <w:r>
        <w:rPr>
          <w:rFonts w:ascii="宋体" w:hAnsi="宋体"/>
          <w:sz w:val="24"/>
          <w:szCs w:val="21"/>
        </w:rPr>
        <w:t>2）报表支持重复表导出功能。</w:t>
      </w:r>
    </w:p>
    <w:p>
      <w:pPr>
        <w:adjustRightInd w:val="0"/>
        <w:snapToGrid w:val="0"/>
        <w:spacing w:line="360" w:lineRule="auto"/>
        <w:ind w:firstLine="480" w:firstLineChars="200"/>
        <w:rPr>
          <w:rFonts w:ascii="宋体" w:hAnsi="宋体"/>
          <w:sz w:val="24"/>
          <w:szCs w:val="21"/>
        </w:rPr>
      </w:pPr>
      <w:r>
        <w:rPr>
          <w:rFonts w:ascii="宋体" w:hAnsi="宋体"/>
          <w:sz w:val="24"/>
          <w:szCs w:val="21"/>
        </w:rPr>
        <w:t>3）支持报表全局附加条件设置。</w:t>
      </w:r>
    </w:p>
    <w:p>
      <w:pPr>
        <w:adjustRightInd w:val="0"/>
        <w:snapToGrid w:val="0"/>
        <w:spacing w:line="360" w:lineRule="auto"/>
        <w:ind w:firstLine="480" w:firstLineChars="200"/>
        <w:rPr>
          <w:rFonts w:ascii="宋体" w:hAnsi="宋体"/>
          <w:sz w:val="24"/>
          <w:szCs w:val="21"/>
        </w:rPr>
      </w:pPr>
      <w:r>
        <w:rPr>
          <w:rFonts w:ascii="宋体" w:hAnsi="宋体"/>
          <w:sz w:val="24"/>
          <w:szCs w:val="21"/>
        </w:rPr>
        <w:t>4）支持查询条件设置。</w:t>
      </w:r>
    </w:p>
    <w:p>
      <w:pPr>
        <w:adjustRightInd w:val="0"/>
        <w:snapToGrid w:val="0"/>
        <w:spacing w:line="360" w:lineRule="auto"/>
        <w:ind w:firstLine="480" w:firstLineChars="200"/>
        <w:rPr>
          <w:rFonts w:ascii="宋体" w:hAnsi="宋体"/>
          <w:sz w:val="24"/>
          <w:szCs w:val="21"/>
        </w:rPr>
      </w:pPr>
      <w:r>
        <w:rPr>
          <w:rFonts w:ascii="宋体" w:hAnsi="宋体"/>
          <w:sz w:val="24"/>
          <w:szCs w:val="21"/>
        </w:rPr>
        <w:t>5）报表支持Excel导出功能，具备下载中心，下载的历史任务可以在下载中心查询导出。</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ascii="宋体" w:hAnsi="宋体"/>
          <w:b/>
          <w:bCs/>
          <w:sz w:val="24"/>
        </w:rPr>
        <w:t>数据源自定义管理</w:t>
      </w:r>
    </w:p>
    <w:p>
      <w:pPr>
        <w:adjustRightInd w:val="0"/>
        <w:snapToGrid w:val="0"/>
        <w:spacing w:line="360" w:lineRule="auto"/>
        <w:ind w:firstLine="480" w:firstLineChars="200"/>
        <w:rPr>
          <w:rFonts w:ascii="宋体" w:hAnsi="宋体"/>
          <w:sz w:val="24"/>
          <w:szCs w:val="21"/>
        </w:rPr>
      </w:pPr>
      <w:r>
        <w:rPr>
          <w:rFonts w:ascii="宋体" w:hAnsi="宋体"/>
          <w:sz w:val="24"/>
          <w:szCs w:val="21"/>
        </w:rPr>
        <w:t>1）支持数据源绑定，用户可自定义数据源，并进行数据展示。</w:t>
      </w:r>
    </w:p>
    <w:p>
      <w:pPr>
        <w:adjustRightInd w:val="0"/>
        <w:snapToGrid w:val="0"/>
        <w:spacing w:line="360" w:lineRule="auto"/>
        <w:ind w:firstLine="480" w:firstLineChars="200"/>
        <w:rPr>
          <w:rFonts w:ascii="宋体" w:hAnsi="宋体"/>
          <w:sz w:val="24"/>
          <w:szCs w:val="21"/>
        </w:rPr>
      </w:pPr>
      <w:r>
        <w:rPr>
          <w:rFonts w:ascii="宋体" w:hAnsi="宋体"/>
          <w:sz w:val="24"/>
          <w:szCs w:val="21"/>
        </w:rPr>
        <w:t>2）系统支持构建查询、插入、更新等各种数据集。</w:t>
      </w:r>
    </w:p>
    <w:p>
      <w:pPr>
        <w:adjustRightInd w:val="0"/>
        <w:snapToGrid w:val="0"/>
        <w:spacing w:line="360" w:lineRule="auto"/>
        <w:ind w:firstLine="480" w:firstLineChars="200"/>
        <w:rPr>
          <w:rFonts w:ascii="宋体" w:hAnsi="宋体"/>
          <w:sz w:val="24"/>
          <w:szCs w:val="21"/>
        </w:rPr>
      </w:pPr>
      <w:r>
        <w:rPr>
          <w:rFonts w:ascii="宋体" w:hAnsi="宋体"/>
          <w:sz w:val="24"/>
          <w:szCs w:val="21"/>
        </w:rPr>
        <w:t>3）支持数据库、</w:t>
      </w:r>
      <w:r>
        <w:rPr>
          <w:rFonts w:hint="eastAsia" w:ascii="宋体" w:hAnsi="宋体"/>
          <w:sz w:val="24"/>
          <w:szCs w:val="21"/>
          <w:lang w:eastAsia="zh-Hans"/>
        </w:rPr>
        <w:t>Excel</w:t>
      </w:r>
      <w:r>
        <w:rPr>
          <w:rFonts w:ascii="宋体" w:hAnsi="宋体"/>
          <w:sz w:val="24"/>
          <w:szCs w:val="21"/>
        </w:rPr>
        <w:t>表等多种方式。</w:t>
      </w:r>
    </w:p>
    <w:p>
      <w:pPr>
        <w:adjustRightInd w:val="0"/>
        <w:snapToGrid w:val="0"/>
        <w:spacing w:line="360" w:lineRule="auto"/>
        <w:ind w:firstLine="480" w:firstLineChars="200"/>
        <w:rPr>
          <w:rFonts w:ascii="宋体" w:hAnsi="宋体"/>
          <w:sz w:val="24"/>
          <w:szCs w:val="21"/>
        </w:rPr>
      </w:pPr>
      <w:r>
        <w:rPr>
          <w:rFonts w:ascii="宋体" w:hAnsi="宋体"/>
          <w:sz w:val="24"/>
          <w:szCs w:val="21"/>
        </w:rPr>
        <w:t>4）表单引擎可以对接学校主数据平台，实现数据自动带出，减少填报量。</w:t>
      </w:r>
    </w:p>
    <w:p>
      <w:pPr>
        <w:adjustRightInd w:val="0"/>
        <w:snapToGrid w:val="0"/>
        <w:spacing w:line="360" w:lineRule="auto"/>
        <w:ind w:firstLine="480" w:firstLineChars="200"/>
        <w:rPr>
          <w:rFonts w:ascii="宋体" w:hAnsi="宋体"/>
          <w:sz w:val="24"/>
          <w:szCs w:val="21"/>
        </w:rPr>
      </w:pPr>
      <w:r>
        <w:rPr>
          <w:rFonts w:ascii="宋体" w:hAnsi="宋体"/>
          <w:sz w:val="24"/>
          <w:szCs w:val="21"/>
        </w:rPr>
        <w:t>5）数据源支持：</w:t>
      </w:r>
    </w:p>
    <w:p>
      <w:pPr>
        <w:adjustRightInd w:val="0"/>
        <w:snapToGrid w:val="0"/>
        <w:spacing w:line="360" w:lineRule="auto"/>
        <w:ind w:firstLine="480" w:firstLineChars="200"/>
        <w:rPr>
          <w:rFonts w:ascii="宋体" w:hAnsi="宋体"/>
          <w:sz w:val="24"/>
          <w:szCs w:val="21"/>
        </w:rPr>
      </w:pPr>
      <w:r>
        <w:rPr>
          <w:rFonts w:ascii="宋体" w:hAnsi="宋体"/>
          <w:sz w:val="24"/>
          <w:szCs w:val="21"/>
        </w:rPr>
        <w:t>第三方数据库\主数据平台数据库\数据库：ORACEL\MYSQL\PostgreSQL</w:t>
      </w:r>
    </w:p>
    <w:p>
      <w:pPr>
        <w:adjustRightInd w:val="0"/>
        <w:snapToGrid w:val="0"/>
        <w:spacing w:line="360" w:lineRule="auto"/>
        <w:ind w:firstLine="480" w:firstLineChars="200"/>
        <w:rPr>
          <w:rFonts w:ascii="宋体" w:hAnsi="宋体"/>
          <w:sz w:val="24"/>
          <w:szCs w:val="21"/>
        </w:rPr>
      </w:pPr>
      <w:r>
        <w:rPr>
          <w:rFonts w:ascii="宋体" w:hAnsi="宋体"/>
          <w:sz w:val="24"/>
          <w:szCs w:val="21"/>
        </w:rPr>
        <w:t>数据集：一站式流程数据集。</w:t>
      </w:r>
    </w:p>
    <w:p>
      <w:pPr>
        <w:adjustRightInd w:val="0"/>
        <w:snapToGrid w:val="0"/>
        <w:spacing w:line="360" w:lineRule="auto"/>
        <w:ind w:firstLine="480" w:firstLineChars="200"/>
        <w:rPr>
          <w:rFonts w:ascii="宋体" w:hAnsi="宋体"/>
          <w:sz w:val="24"/>
          <w:szCs w:val="21"/>
        </w:rPr>
      </w:pPr>
      <w:r>
        <w:rPr>
          <w:rFonts w:ascii="宋体" w:hAnsi="宋体"/>
          <w:sz w:val="24"/>
          <w:szCs w:val="21"/>
        </w:rPr>
        <w:t>API：学校标准API。</w:t>
      </w:r>
    </w:p>
    <w:p>
      <w:pPr>
        <w:adjustRightInd w:val="0"/>
        <w:snapToGrid w:val="0"/>
        <w:spacing w:line="360" w:lineRule="auto"/>
        <w:ind w:firstLine="480" w:firstLineChars="200"/>
        <w:rPr>
          <w:rFonts w:ascii="宋体" w:hAnsi="宋体"/>
          <w:sz w:val="24"/>
          <w:szCs w:val="21"/>
        </w:rPr>
      </w:pPr>
      <w:r>
        <w:rPr>
          <w:rFonts w:ascii="宋体" w:hAnsi="宋体"/>
          <w:sz w:val="24"/>
          <w:szCs w:val="21"/>
        </w:rPr>
        <w:t>6）支持自动提取数字校园数据中心数据，减少用户填表复杂度。</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lang w:eastAsia="zh-Hans"/>
        </w:rPr>
        <w:t>流程</w:t>
      </w:r>
      <w:r>
        <w:rPr>
          <w:rFonts w:ascii="宋体" w:hAnsi="宋体"/>
          <w:b/>
          <w:bCs/>
          <w:sz w:val="24"/>
        </w:rPr>
        <w:t>建设及迭代</w:t>
      </w:r>
    </w:p>
    <w:p>
      <w:pPr>
        <w:adjustRightInd w:val="0"/>
        <w:snapToGrid w:val="0"/>
        <w:spacing w:line="360" w:lineRule="auto"/>
        <w:ind w:firstLine="480" w:firstLineChars="200"/>
        <w:rPr>
          <w:rFonts w:ascii="宋体" w:hAnsi="宋体"/>
          <w:sz w:val="24"/>
          <w:szCs w:val="21"/>
        </w:rPr>
      </w:pPr>
      <w:r>
        <w:rPr>
          <w:rFonts w:ascii="宋体" w:hAnsi="宋体"/>
          <w:sz w:val="24"/>
          <w:szCs w:val="21"/>
        </w:rPr>
        <w:t>本期项目，需为校方</w:t>
      </w:r>
      <w:r>
        <w:rPr>
          <w:rFonts w:hint="eastAsia" w:ascii="宋体" w:hAnsi="宋体"/>
          <w:sz w:val="24"/>
          <w:szCs w:val="21"/>
          <w:lang w:eastAsia="zh-Hans"/>
        </w:rPr>
        <w:t>建设及迭代</w:t>
      </w:r>
      <w:r>
        <w:rPr>
          <w:rFonts w:ascii="宋体" w:hAnsi="宋体"/>
          <w:sz w:val="24"/>
          <w:szCs w:val="21"/>
        </w:rPr>
        <w:t>35条流程。在</w:t>
      </w:r>
      <w:r>
        <w:rPr>
          <w:rFonts w:hint="eastAsia" w:ascii="宋体" w:hAnsi="宋体"/>
          <w:sz w:val="24"/>
          <w:szCs w:val="21"/>
        </w:rPr>
        <w:t>工作量</w:t>
      </w:r>
      <w:r>
        <w:rPr>
          <w:rFonts w:ascii="宋体" w:hAnsi="宋体"/>
          <w:sz w:val="24"/>
          <w:szCs w:val="21"/>
        </w:rPr>
        <w:t>复杂的情况下，可将一个场景或一个复杂流程折算为多个流程数量进行计算，具体折抵数量由投标人与学校商定。</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rPr>
        <w:t>个人数据中心</w:t>
      </w:r>
      <w:r>
        <w:rPr>
          <w:rFonts w:hint="eastAsia" w:ascii="宋体" w:hAnsi="Cambria"/>
          <w:b/>
          <w:bCs/>
          <w:sz w:val="24"/>
          <w:lang w:eastAsia="zh-Hans"/>
        </w:rPr>
        <w:t>（一张表系统）建设</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填报模块</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支持免编码、快速、独立配置各自定制化填报需求。满足各单位在字段、码表、维度表等方面统一和个性化的需求。</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共享填报</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1）对于多人成果和团队获奖：只需团队任意成员填写一次，实现全团队成员都免填写，并可以看到自己的成果。</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）▲支持工作当量、个人承担经费分配等数据的填写，可以通过配置实现各种验证，例如：当量分配不能超过1</w:t>
      </w:r>
      <w:r>
        <w:rPr>
          <w:rFonts w:ascii="宋体" w:hAnsi="宋体"/>
          <w:sz w:val="24"/>
          <w:szCs w:val="21"/>
        </w:rPr>
        <w:t>00</w:t>
      </w:r>
      <w:r>
        <w:rPr>
          <w:rFonts w:hint="eastAsia" w:ascii="宋体" w:hAnsi="宋体"/>
          <w:sz w:val="24"/>
          <w:szCs w:val="21"/>
        </w:rPr>
        <w:t>%，个人承担经费之和不超过总经费。</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填报模版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可通过配置实现</w:t>
      </w:r>
      <w:r>
        <w:rPr>
          <w:rFonts w:ascii="宋体" w:hAnsi="宋体"/>
          <w:sz w:val="24"/>
          <w:szCs w:val="21"/>
        </w:rPr>
        <w:t>4种填报表单样式：支持列表、字段、小组、段落填报模板。</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同步功能</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主动同步：支持用户主动发起数据更新请求，可以根据用户需要进行数据的全量同步、维度表（信息表）级别单个同步。</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自动同步：支持业务系统数据变更后自动同步。</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 xml:space="preserve">表单控件 </w:t>
      </w:r>
    </w:p>
    <w:p>
      <w:pPr>
        <w:adjustRightInd w:val="0"/>
        <w:snapToGrid w:val="0"/>
        <w:spacing w:line="360" w:lineRule="auto"/>
        <w:ind w:firstLine="480" w:firstLineChars="200"/>
        <w:rPr>
          <w:rFonts w:ascii="宋体" w:hAnsi="宋体"/>
          <w:strike/>
          <w:sz w:val="24"/>
          <w:szCs w:val="21"/>
        </w:rPr>
      </w:pPr>
      <w:r>
        <w:rPr>
          <w:rFonts w:hint="eastAsia" w:ascii="宋体" w:hAnsi="宋体"/>
          <w:sz w:val="24"/>
          <w:szCs w:val="21"/>
        </w:rPr>
        <w:t>1）表中的字段根据业务需求基于组件配置，可以随时修改。</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支持多种填写控件，至少包括：文本、多行文本、密码、年、年月、日期、日期时间、图片、小数、数字、部门、码表、多人弹窗、单人弹窗、人员搜索、动态码表、子表、参与人、工作当量（占比）、个人分值、到账金额、排序、指导教师。</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 xml:space="preserve">表管理 </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1）能够根据</w:t>
      </w:r>
      <w:r>
        <w:rPr>
          <w:rFonts w:ascii="宋体" w:hAnsi="宋体"/>
          <w:sz w:val="24"/>
          <w:szCs w:val="21"/>
        </w:rPr>
        <w:t>部门</w:t>
      </w:r>
      <w:r>
        <w:rPr>
          <w:rFonts w:hint="eastAsia" w:ascii="宋体" w:hAnsi="宋体"/>
          <w:sz w:val="24"/>
          <w:szCs w:val="21"/>
        </w:rPr>
        <w:t>和表名关键字</w:t>
      </w:r>
      <w:r>
        <w:rPr>
          <w:rFonts w:ascii="宋体" w:hAnsi="宋体"/>
          <w:sz w:val="24"/>
          <w:szCs w:val="21"/>
        </w:rPr>
        <w:t>搜索</w:t>
      </w:r>
      <w:r>
        <w:rPr>
          <w:rFonts w:hint="eastAsia" w:ascii="宋体" w:hAnsi="宋体"/>
          <w:sz w:val="24"/>
          <w:szCs w:val="21"/>
        </w:rPr>
        <w:t>当前部门下可见的表，每个表可以属于不同的二级分类。</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）能够灵活配置想生成的表和字段。</w:t>
      </w:r>
    </w:p>
    <w:p>
      <w:pPr>
        <w:adjustRightInd w:val="0"/>
        <w:snapToGrid w:val="0"/>
        <w:spacing w:line="360" w:lineRule="auto"/>
        <w:ind w:firstLine="480" w:firstLineChars="200"/>
        <w:rPr>
          <w:rFonts w:ascii="宋体" w:hAnsi="宋体"/>
          <w:sz w:val="24"/>
          <w:szCs w:val="21"/>
        </w:rPr>
      </w:pPr>
      <w:r>
        <w:rPr>
          <w:rFonts w:ascii="宋体" w:hAnsi="宋体"/>
          <w:sz w:val="24"/>
          <w:szCs w:val="21"/>
        </w:rPr>
        <w:t>3）▲可以设置字段显示隐藏、必填、选填、禁止修改、同步禁止修改、自主修改、修改后需审核、修改反馈审核、禁止添加。</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）可以设置表排序字段和排序规则。</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表总览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1）能够管理系统里的全部表，支持新建表、设置审核流程。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2）支持管理员新增或禁用维度或字段。</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3）▲字段类型至少支持文本、多行文本、密码、年、年月、日期、日期时间、小数、数字、部门、人员搜索、动态码表、子表、参与人、工作当量（占比）、个人分值、到账金额、排序、指导教师、上传图片、上传附件21种类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4）可设置维度的数据来源，可添加数据的来源备注或其他相关信息。</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5）▲维度前台呈现样式可配置字段、列表、小组、段落四种维度样式。</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6）支持维度的资料上传，对该维度数据的资料补充证明，可进行手动上传。</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个人数据模版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个人数据页面，可以支持在学校一张表基础上自定义部门填报需求。设置二级单位的一级分类和二级分类以及样式。</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岗位管理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实现系统里面各个二级单位的岗位设置、岗位人员维护，满足流程审批和权限设置中的角色需求。</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部门管理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系统后台提供对于组织架构的添加和删除管理。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支持设置部门基本信息、组织架构排序、组织架构导出。</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用户管理</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）平台主要包括三类用户：</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普通教师用户：可在平台实现数据填报，查看个人数据等；</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系统管理人员：可对用户、数据进行管理和配置审核人员：</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系统维护人员：维护平台功能，保障平台运行。</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）能够自行添加用户，支持批量导入功能。</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）提供根据用户个人信息筛选用户功能。</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内置流程引擎</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1）▲内置流程引擎，可以快速的生成审批流程、支持一级和多级审批、可以按照岗位进行审批，支持竞争、同意、驳回等场景。</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）可以在流程审批后进行数据推送配置、将数据同步到其他业务系统。</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数据审核流程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1）用户修改数据后，指定管理员审批数据后修改生效。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2）可以根据各自学院岗位配置，自由配置审批流程。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3）▲支持按照填写用户进行批量审批，可以做到修改后和修改前数据进行对比，并标识改动字段。</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4）可对每条需要审核的内容填写意见说明，可查看用户上传的图片和pdf文件。</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5）审核模式支持2种：</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修改审核：修改后数据直接审核生效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反馈审核：修改后数据需要由数据审核员进行确认，手工去业务系统修改，反馈给用户。</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系统设置</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支持对系统基本信息和微信进行设置。</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移动端服务</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系统自适应移动端，可以在微信、手机浏览器、同步实现在移动端的数据填报和查看。</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平台数据管理授权</w:t>
      </w:r>
    </w:p>
    <w:p>
      <w:pPr>
        <w:adjustRightInd w:val="0"/>
        <w:snapToGrid w:val="0"/>
        <w:spacing w:line="360" w:lineRule="auto"/>
        <w:ind w:left="480"/>
        <w:rPr>
          <w:rFonts w:ascii="宋体" w:hAnsi="宋体"/>
          <w:sz w:val="24"/>
          <w:szCs w:val="21"/>
        </w:rPr>
      </w:pPr>
      <w:r>
        <w:rPr>
          <w:rFonts w:hint="eastAsia" w:ascii="宋体" w:hAnsi="宋体"/>
          <w:sz w:val="24"/>
          <w:szCs w:val="21"/>
        </w:rPr>
        <w:t>1、三级权限管理体系</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支持超级管理员、二级单位管理员、办事员三级授权体系、支持把各自维度授权到二级单位自行维护和管理，并支持二级单位自行继续向下授权，以便于管理。</w:t>
      </w:r>
    </w:p>
    <w:p>
      <w:pPr>
        <w:adjustRightInd w:val="0"/>
        <w:snapToGrid w:val="0"/>
        <w:spacing w:line="360" w:lineRule="auto"/>
        <w:ind w:left="480"/>
        <w:rPr>
          <w:rFonts w:ascii="宋体" w:hAnsi="宋体"/>
          <w:sz w:val="24"/>
          <w:szCs w:val="21"/>
        </w:rPr>
      </w:pPr>
      <w:r>
        <w:rPr>
          <w:rFonts w:hint="eastAsia" w:ascii="宋体" w:hAnsi="宋体"/>
          <w:sz w:val="24"/>
          <w:szCs w:val="21"/>
        </w:rPr>
        <w:t>2、数据表、字段授权</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1）每个表可以配置多个权限组，以满足不同单位对数据表和字段的权限要求，包括不限于字段的必填、可写、隐藏、同步禁止修改、禁止修改、自主修改、修改后需审核、</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2）每个维度的数据对接业务系统后，可以按照各个二级单位的需求进行字段级别的授权。</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）每个字段都可以单独对多个学院或是校区进行配置权限。</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）每个字段的数据只对接一次，仅通过权限系统控制不同学院的显示样式和字段。</w:t>
      </w:r>
    </w:p>
    <w:p>
      <w:pPr>
        <w:adjustRightInd w:val="0"/>
        <w:snapToGrid w:val="0"/>
        <w:spacing w:line="360" w:lineRule="auto"/>
        <w:ind w:firstLine="480" w:firstLineChars="200"/>
        <w:rPr>
          <w:rFonts w:ascii="宋体" w:hAnsi="宋体"/>
          <w:sz w:val="24"/>
          <w:szCs w:val="21"/>
        </w:rPr>
      </w:pPr>
      <w:r>
        <w:rPr>
          <w:rFonts w:ascii="宋体" w:hAnsi="宋体"/>
          <w:sz w:val="24"/>
          <w:szCs w:val="21"/>
        </w:rPr>
        <w:t>5</w:t>
      </w:r>
      <w:r>
        <w:rPr>
          <w:rFonts w:hint="eastAsia" w:ascii="宋体" w:hAnsi="宋体"/>
          <w:sz w:val="24"/>
          <w:szCs w:val="21"/>
        </w:rPr>
        <w:t>）通过简单的配置即可实现满足全校所有学院、校区的在填报样式、填报字段、填报逻辑等个性化需求。</w:t>
      </w:r>
    </w:p>
    <w:p>
      <w:pPr>
        <w:adjustRightInd w:val="0"/>
        <w:snapToGrid w:val="0"/>
        <w:spacing w:line="360" w:lineRule="auto"/>
        <w:ind w:left="480"/>
        <w:rPr>
          <w:rFonts w:ascii="宋体" w:hAnsi="宋体"/>
          <w:sz w:val="24"/>
          <w:szCs w:val="21"/>
        </w:rPr>
      </w:pPr>
      <w:r>
        <w:rPr>
          <w:rFonts w:hint="eastAsia" w:ascii="宋体" w:hAnsi="宋体"/>
          <w:sz w:val="24"/>
          <w:szCs w:val="21"/>
        </w:rPr>
        <w:t>3、维度（信息表）授权</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超级管理员：可以把各个信息表授权给不同的二级管理员（部门或者校区管理员）。</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二级管理员：根据所在单位需要建立本单位需要的信息填报维度、管理已有的维度信息表。</w:t>
      </w:r>
    </w:p>
    <w:p>
      <w:pPr>
        <w:adjustRightInd w:val="0"/>
        <w:snapToGrid w:val="0"/>
        <w:spacing w:line="360" w:lineRule="auto"/>
        <w:ind w:left="480"/>
        <w:rPr>
          <w:rFonts w:ascii="宋体" w:hAnsi="宋体"/>
          <w:sz w:val="24"/>
          <w:szCs w:val="21"/>
        </w:rPr>
      </w:pPr>
      <w:r>
        <w:rPr>
          <w:rFonts w:hint="eastAsia" w:ascii="宋体" w:hAnsi="宋体"/>
          <w:sz w:val="24"/>
          <w:szCs w:val="21"/>
        </w:rPr>
        <w:t>4、码表授权</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超级管理员：可以统一建立码表库，为信息填报提供标准的码表库，也可以授权二级管理员进行码表管理。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二级管理员：根据所在单位需要建立本单位需要的码表、管理已有的信息填报码表。</w:t>
      </w:r>
    </w:p>
    <w:p>
      <w:pPr>
        <w:adjustRightInd w:val="0"/>
        <w:snapToGrid w:val="0"/>
        <w:spacing w:line="360" w:lineRule="auto"/>
        <w:ind w:left="480"/>
        <w:rPr>
          <w:rFonts w:ascii="宋体" w:hAnsi="宋体"/>
          <w:sz w:val="24"/>
          <w:szCs w:val="21"/>
        </w:rPr>
      </w:pPr>
      <w:r>
        <w:rPr>
          <w:rFonts w:hint="eastAsia" w:ascii="宋体" w:hAnsi="宋体"/>
          <w:sz w:val="24"/>
          <w:szCs w:val="21"/>
        </w:rPr>
        <w:t>5、表单字段修改权限</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同步数据禁止修改：来自共享数据中心权威数据源的数据禁止修改；</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自主修改：支持自由修改、补录非同步数据；</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同步数据禁止删除：来自共享数据中心的数据项（组）禁止删除；</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修改后需要审核：数据修改后须自动触发审核流程；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禁止修改：数据字段的权威数据源禁止修改。</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rPr>
        <w:t>一网通办</w:t>
      </w:r>
      <w:r>
        <w:rPr>
          <w:rFonts w:hint="eastAsia" w:ascii="宋体" w:hAnsi="Cambria"/>
          <w:b/>
          <w:bCs/>
          <w:sz w:val="24"/>
          <w:lang w:eastAsia="zh-Hans"/>
        </w:rPr>
        <w:t>门户</w:t>
      </w:r>
    </w:p>
    <w:p>
      <w:pPr>
        <w:keepNext/>
        <w:keepLines/>
        <w:numPr>
          <w:ilvl w:val="2"/>
          <w:numId w:val="10"/>
        </w:numPr>
        <w:adjustRightInd w:val="0"/>
        <w:snapToGrid w:val="0"/>
        <w:spacing w:line="360" w:lineRule="auto"/>
        <w:ind w:firstLine="200"/>
        <w:jc w:val="left"/>
        <w:outlineLvl w:val="2"/>
        <w:rPr>
          <w:rFonts w:ascii="宋体" w:hAnsi="宋体"/>
          <w:b/>
          <w:bCs/>
          <w:sz w:val="24"/>
          <w:lang w:eastAsia="zh-Hans"/>
        </w:rPr>
      </w:pPr>
      <w:r>
        <w:rPr>
          <w:rFonts w:hint="eastAsia" w:ascii="宋体" w:hAnsi="宋体"/>
          <w:b/>
          <w:bCs/>
          <w:sz w:val="24"/>
          <w:lang w:eastAsia="zh-Hans"/>
        </w:rPr>
        <w:t>门户前台</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首页</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搜索</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用户可以通过输入关键词来搜索全站应用以及通知。</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w:t>
      </w:r>
      <w:r>
        <w:rPr>
          <w:rFonts w:ascii="宋体" w:hAnsi="宋体"/>
          <w:sz w:val="24"/>
          <w:szCs w:val="21"/>
        </w:rPr>
        <w:t>支持关键词模糊匹配，可以匹配应用名称、通知标题等相关信息。</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支持分页展示搜索结果，每页显示固定数量的结果。</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个人信息</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1）展示当前登录人的个人信息。</w:t>
      </w:r>
    </w:p>
    <w:p>
      <w:pPr>
        <w:spacing w:after="120" w:line="300" w:lineRule="auto"/>
        <w:ind w:firstLine="480" w:firstLineChars="200"/>
        <w:rPr>
          <w:color w:val="000000"/>
          <w:sz w:val="24"/>
          <w:szCs w:val="22"/>
        </w:rPr>
      </w:pPr>
      <w:r>
        <w:rPr>
          <w:rFonts w:hint="eastAsia" w:ascii="宋体" w:hAnsi="宋体" w:cs="宋体"/>
          <w:color w:val="000000"/>
          <w:sz w:val="24"/>
          <w:szCs w:val="22"/>
        </w:rPr>
        <w:t>2）可支持</w:t>
      </w:r>
      <w:r>
        <w:rPr>
          <w:rFonts w:hint="eastAsia"/>
          <w:color w:val="000000"/>
          <w:sz w:val="24"/>
          <w:szCs w:val="22"/>
        </w:rPr>
        <w:t>第三方对接数据，如用户邮件、一卡通、电费、网费、图书借阅数量、以及消息、待办等信息。</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应用收藏</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用户可以将常用的应用添加到收藏列表中</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1）用户可以浏览应用列表，选择要添加的应用。</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）用户可以通过搜索功能快速找到要添加的应用。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3）用户可以确认添加的应用后，将其加入收藏列表。</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轮播管理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展示后台上传的轮播图，并支持添加链接点击轮播进行跳转。</w:t>
      </w:r>
    </w:p>
    <w:p>
      <w:pPr>
        <w:adjustRightInd w:val="0"/>
        <w:snapToGrid w:val="0"/>
        <w:spacing w:line="360" w:lineRule="auto"/>
        <w:ind w:firstLine="480" w:firstLineChars="200"/>
        <w:rPr>
          <w:rFonts w:ascii="宋体" w:hAnsi="宋体"/>
          <w:sz w:val="24"/>
          <w:szCs w:val="21"/>
        </w:rPr>
      </w:pPr>
      <w:r>
        <w:rPr>
          <w:rFonts w:ascii="宋体" w:hAnsi="宋体"/>
          <w:sz w:val="24"/>
          <w:szCs w:val="21"/>
        </w:rPr>
        <w:t>5、</w:t>
      </w:r>
      <w:r>
        <w:rPr>
          <w:rFonts w:hint="eastAsia" w:ascii="宋体" w:hAnsi="宋体"/>
          <w:sz w:val="24"/>
          <w:szCs w:val="21"/>
        </w:rPr>
        <w:t>日程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用户可以创建个人日程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1）支持设置日程为重复日程，用户可以选择日程的重复频率，如每天、每周、每月等。</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）对于站内添加的日程支持设置提醒功能，用户可以选择在日程开始前多久收到提醒。</w:t>
      </w:r>
    </w:p>
    <w:p>
      <w:pPr>
        <w:spacing w:after="120" w:line="300" w:lineRule="auto"/>
        <w:ind w:firstLine="480" w:firstLineChars="200"/>
        <w:rPr>
          <w:color w:val="000000"/>
          <w:sz w:val="24"/>
          <w:szCs w:val="22"/>
        </w:rPr>
      </w:pPr>
      <w:r>
        <w:rPr>
          <w:rFonts w:hint="eastAsia" w:ascii="宋体" w:hAnsi="宋体" w:cs="宋体"/>
          <w:color w:val="000000"/>
          <w:sz w:val="24"/>
          <w:szCs w:val="22"/>
        </w:rPr>
        <w:t>3）提供标准</w:t>
      </w:r>
      <w:r>
        <w:rPr>
          <w:rFonts w:hint="eastAsia"/>
          <w:color w:val="000000"/>
          <w:sz w:val="24"/>
          <w:szCs w:val="22"/>
        </w:rPr>
        <w:t>接口文档，供第三方平台接入：课表、会议等日程相关信息。</w:t>
      </w:r>
    </w:p>
    <w:p>
      <w:pPr>
        <w:adjustRightInd w:val="0"/>
        <w:snapToGrid w:val="0"/>
        <w:spacing w:line="360" w:lineRule="auto"/>
        <w:ind w:firstLine="482" w:firstLineChars="200"/>
        <w:rPr>
          <w:rFonts w:ascii="宋体" w:hAnsi="宋体"/>
          <w:b/>
          <w:bCs/>
          <w:sz w:val="24"/>
          <w:szCs w:val="21"/>
        </w:rPr>
      </w:pPr>
      <w:r>
        <w:rPr>
          <w:rFonts w:hint="eastAsia" w:ascii="宋体" w:hAnsi="宋体"/>
          <w:b/>
          <w:bCs/>
          <w:sz w:val="24"/>
          <w:szCs w:val="21"/>
        </w:rPr>
        <w:t>部门日程</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发布的部门日程会同时发送给当前登录人所在部门的人。</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部门日程会自动发送给当前登录人所在部门的人，无需手动选择接收人。</w:t>
      </w:r>
    </w:p>
    <w:p>
      <w:pPr>
        <w:adjustRightInd w:val="0"/>
        <w:snapToGrid w:val="0"/>
        <w:spacing w:line="360" w:lineRule="auto"/>
        <w:ind w:firstLine="482" w:firstLineChars="200"/>
        <w:rPr>
          <w:rFonts w:ascii="宋体" w:hAnsi="宋体"/>
          <w:b/>
          <w:bCs/>
          <w:sz w:val="24"/>
          <w:szCs w:val="21"/>
        </w:rPr>
      </w:pPr>
      <w:r>
        <w:rPr>
          <w:rFonts w:hint="eastAsia" w:ascii="宋体" w:hAnsi="宋体"/>
          <w:b/>
          <w:bCs/>
          <w:sz w:val="24"/>
          <w:szCs w:val="21"/>
        </w:rPr>
        <w:t>公共日程功能</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发布公共日程时需要创建接收人群包，人群包可选人群可以通过后台进行限制。</w:t>
      </w:r>
    </w:p>
    <w:p>
      <w:pPr>
        <w:adjustRightInd w:val="0"/>
        <w:snapToGrid w:val="0"/>
        <w:spacing w:line="360" w:lineRule="auto"/>
        <w:ind w:firstLine="480" w:firstLineChars="200"/>
        <w:rPr>
          <w:rFonts w:ascii="宋体" w:hAnsi="宋体"/>
          <w:sz w:val="24"/>
          <w:szCs w:val="21"/>
        </w:rPr>
      </w:pPr>
      <w:r>
        <w:rPr>
          <w:rFonts w:ascii="宋体" w:hAnsi="宋体"/>
          <w:sz w:val="24"/>
          <w:szCs w:val="21"/>
        </w:rPr>
        <w:t>6、</w:t>
      </w:r>
      <w:r>
        <w:rPr>
          <w:rFonts w:hint="eastAsia" w:ascii="宋体" w:hAnsi="宋体"/>
          <w:sz w:val="24"/>
          <w:szCs w:val="21"/>
        </w:rPr>
        <w:t>通知集成</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用户可以查看已发布的通知公告内容。</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1）查看通知公告列表：用户可以在通知公告模块中查看已发布的通知公告列表。</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）查看通知公告详情：用户可以点击通知公告列表中的某一项，查看该通知公告的详细内容。</w:t>
      </w:r>
    </w:p>
    <w:p>
      <w:pPr>
        <w:spacing w:after="120" w:line="300" w:lineRule="auto"/>
        <w:ind w:firstLine="480" w:firstLineChars="200"/>
        <w:rPr>
          <w:rFonts w:ascii="宋体" w:hAnsi="宋体" w:cs="宋体"/>
          <w:color w:val="000000"/>
          <w:sz w:val="24"/>
          <w:szCs w:val="22"/>
        </w:rPr>
      </w:pPr>
      <w:r>
        <w:rPr>
          <w:rFonts w:ascii="宋体" w:hAnsi="宋体" w:cs="宋体"/>
          <w:color w:val="000000"/>
          <w:sz w:val="24"/>
          <w:szCs w:val="22"/>
        </w:rPr>
        <w:t>3</w:t>
      </w:r>
      <w:r>
        <w:rPr>
          <w:rFonts w:hint="eastAsia" w:ascii="宋体" w:hAnsi="宋体" w:cs="宋体"/>
          <w:color w:val="000000"/>
          <w:sz w:val="24"/>
          <w:szCs w:val="22"/>
        </w:rPr>
        <w:t>）支持对接第三方系统，获取校园资讯、党发文件、行政文件、部门通知、学院动态、一周工作安排。</w:t>
      </w:r>
    </w:p>
    <w:p>
      <w:pPr>
        <w:spacing w:after="120" w:line="300" w:lineRule="auto"/>
        <w:ind w:firstLine="480" w:firstLineChars="200"/>
        <w:rPr>
          <w:color w:val="000000"/>
          <w:sz w:val="24"/>
          <w:szCs w:val="22"/>
        </w:rPr>
      </w:pPr>
      <w:r>
        <w:rPr>
          <w:rFonts w:hint="eastAsia" w:ascii="宋体" w:hAnsi="宋体" w:cs="宋体"/>
          <w:color w:val="000000"/>
          <w:sz w:val="24"/>
          <w:szCs w:val="22"/>
        </w:rPr>
        <w:t>4）支持管理第三方平台栏目的显隐。</w:t>
      </w:r>
    </w:p>
    <w:p>
      <w:pPr>
        <w:adjustRightInd w:val="0"/>
        <w:snapToGrid w:val="0"/>
        <w:spacing w:line="360" w:lineRule="auto"/>
        <w:ind w:firstLine="480" w:firstLineChars="200"/>
        <w:rPr>
          <w:rFonts w:ascii="宋体" w:hAnsi="宋体"/>
          <w:sz w:val="24"/>
          <w:szCs w:val="21"/>
        </w:rPr>
      </w:pPr>
      <w:r>
        <w:rPr>
          <w:rFonts w:ascii="宋体" w:hAnsi="宋体"/>
          <w:sz w:val="24"/>
          <w:szCs w:val="21"/>
        </w:rPr>
        <w:t>7、</w:t>
      </w:r>
      <w:r>
        <w:rPr>
          <w:rFonts w:hint="eastAsia" w:ascii="宋体" w:hAnsi="宋体"/>
          <w:sz w:val="24"/>
          <w:szCs w:val="21"/>
        </w:rPr>
        <w:t>课程资源</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系统展示精品课程和热门课程的列表，包括课程名称、简介信息</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8、</w:t>
      </w:r>
      <w:r>
        <w:rPr>
          <w:rFonts w:hint="eastAsia" w:ascii="宋体" w:hAnsi="宋体"/>
          <w:sz w:val="24"/>
          <w:szCs w:val="21"/>
        </w:rPr>
        <w:t>系统直通车</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展示学校其他系统的内容，并提供免登录跳转至学校其他业务系统的功能。</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1）展示学校其他系统的图标、链接、名称等信息。</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）提供免登录跳转至学校其他业务系统的功能。</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任务中心</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1、我的待办</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任务中心模块的作用是提供一个统一的界面，展示当前登录人所有平台的任务信息。</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展示当前登录人的待办任务列表。分为待处理和已处理。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1）展示任务的标题（事项名）、状态、接受时间、发起人部门。</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）支持按照不同的条件进行搜索任务。</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）提供分页功能，方便用户浏览大量任务。</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2、我的申请</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展示当前登录人的待办申请列表。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1）展示任务的标题（事项名）、状态、接受时间、发起人部门。</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）支持按照不同的条件进行任务。</w:t>
      </w:r>
    </w:p>
    <w:p>
      <w:pPr>
        <w:adjustRightInd w:val="0"/>
        <w:snapToGrid w:val="0"/>
        <w:spacing w:line="360" w:lineRule="auto"/>
        <w:ind w:firstLine="480" w:firstLineChars="200"/>
        <w:rPr>
          <w:rFonts w:ascii="宋体" w:hAnsi="宋体"/>
          <w:color w:val="000000"/>
          <w:sz w:val="24"/>
          <w:szCs w:val="21"/>
        </w:rPr>
      </w:pPr>
      <w:r>
        <w:rPr>
          <w:rFonts w:hint="eastAsia" w:ascii="宋体" w:hAnsi="宋体"/>
          <w:color w:val="000000"/>
          <w:sz w:val="24"/>
          <w:szCs w:val="21"/>
        </w:rPr>
        <w:t>3）提供标准化的对外接口供第三方平台进行任务接入</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消息中心</w:t>
      </w:r>
    </w:p>
    <w:p>
      <w:pPr>
        <w:adjustRightInd w:val="0"/>
        <w:snapToGrid w:val="0"/>
        <w:spacing w:line="360" w:lineRule="auto"/>
        <w:ind w:firstLine="480" w:firstLineChars="200"/>
        <w:rPr>
          <w:rFonts w:ascii="宋体" w:hAnsi="宋体"/>
          <w:color w:val="000000"/>
          <w:sz w:val="24"/>
          <w:szCs w:val="21"/>
        </w:rPr>
      </w:pPr>
      <w:r>
        <w:rPr>
          <w:rFonts w:ascii="宋体" w:hAnsi="宋体"/>
          <w:color w:val="000000"/>
          <w:sz w:val="24"/>
          <w:szCs w:val="21"/>
        </w:rPr>
        <w:t>1</w:t>
      </w:r>
      <w:r>
        <w:rPr>
          <w:rFonts w:hint="eastAsia" w:ascii="宋体" w:hAnsi="宋体"/>
          <w:color w:val="000000"/>
          <w:sz w:val="24"/>
          <w:szCs w:val="21"/>
        </w:rPr>
        <w:t>）支持对展示的消息通知进行分类查阅、批量标记已读与删除</w:t>
      </w:r>
      <w:r>
        <w:rPr>
          <w:rFonts w:ascii="宋体" w:hAnsi="宋体"/>
          <w:color w:val="000000"/>
          <w:sz w:val="24"/>
          <w:szCs w:val="21"/>
        </w:rPr>
        <w:t>。</w:t>
      </w:r>
    </w:p>
    <w:p>
      <w:pPr>
        <w:spacing w:after="120" w:line="300" w:lineRule="auto"/>
        <w:ind w:firstLine="480" w:firstLineChars="200"/>
        <w:rPr>
          <w:color w:val="000000"/>
          <w:sz w:val="24"/>
          <w:szCs w:val="22"/>
        </w:rPr>
      </w:pPr>
      <w:r>
        <w:rPr>
          <w:rFonts w:ascii="宋体" w:hAnsi="宋体" w:cs="宋体"/>
          <w:color w:val="000000"/>
          <w:sz w:val="24"/>
          <w:szCs w:val="22"/>
        </w:rPr>
        <w:t>2</w:t>
      </w:r>
      <w:r>
        <w:rPr>
          <w:rFonts w:hint="eastAsia" w:ascii="宋体" w:hAnsi="宋体" w:cs="宋体"/>
          <w:color w:val="000000"/>
          <w:sz w:val="24"/>
          <w:szCs w:val="22"/>
        </w:rPr>
        <w:t>）</w:t>
      </w:r>
      <w:r>
        <w:rPr>
          <w:rFonts w:hint="eastAsia"/>
          <w:color w:val="000000"/>
          <w:sz w:val="24"/>
          <w:szCs w:val="22"/>
        </w:rPr>
        <w:t>提供标准化的对外接口供第三方平台进行消息接入</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应用中心</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最近使用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记录用户最近使用的应用以及事项</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我的收藏</w:t>
      </w:r>
    </w:p>
    <w:p>
      <w:pPr>
        <w:adjustRightInd w:val="0"/>
        <w:snapToGrid w:val="0"/>
        <w:spacing w:line="360" w:lineRule="auto"/>
        <w:ind w:firstLine="480" w:firstLineChars="200"/>
        <w:rPr>
          <w:rFonts w:ascii="宋体" w:hAnsi="宋体"/>
          <w:sz w:val="24"/>
          <w:szCs w:val="21"/>
        </w:rPr>
      </w:pPr>
      <w:r>
        <w:rPr>
          <w:rFonts w:ascii="宋体" w:hAnsi="宋体"/>
          <w:sz w:val="24"/>
          <w:szCs w:val="21"/>
        </w:rPr>
        <w:t>用户可以通过搜索功能快速找到要添加的应用，将常用的应用添加到收藏列表中。</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热门服务</w:t>
      </w:r>
    </w:p>
    <w:p>
      <w:pPr>
        <w:adjustRightInd w:val="0"/>
        <w:snapToGrid w:val="0"/>
        <w:spacing w:line="360" w:lineRule="auto"/>
        <w:ind w:firstLine="480" w:firstLineChars="200"/>
        <w:rPr>
          <w:rFonts w:ascii="宋体" w:hAnsi="宋体" w:cs="宋体"/>
          <w:sz w:val="24"/>
          <w:szCs w:val="21"/>
        </w:rPr>
      </w:pPr>
      <w:r>
        <w:rPr>
          <w:rFonts w:hint="eastAsia" w:ascii="宋体" w:hAnsi="宋体" w:cs="宋体"/>
          <w:sz w:val="24"/>
          <w:szCs w:val="21"/>
        </w:rPr>
        <w:t>1）管理员可以手动将一些应用推荐到首页展示。可根据应用可见人群设置参数的不同，首页推荐应用不同身份，看到的应用也会有所不同。</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应用列表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用户可以根据分类进行筛选展示应用和事项</w:t>
      </w:r>
      <w:r>
        <w:rPr>
          <w:rFonts w:ascii="宋体" w:hAnsi="宋体"/>
          <w:sz w:val="24"/>
          <w:szCs w:val="21"/>
        </w:rPr>
        <w:t>，</w:t>
      </w:r>
      <w:r>
        <w:rPr>
          <w:rFonts w:hint="eastAsia" w:ascii="宋体" w:hAnsi="宋体"/>
          <w:sz w:val="24"/>
          <w:szCs w:val="21"/>
          <w:lang w:eastAsia="zh-Hans"/>
        </w:rPr>
        <w:t>支持分类多选</w:t>
      </w:r>
      <w:r>
        <w:rPr>
          <w:rFonts w:ascii="宋体" w:hAnsi="宋体"/>
          <w:sz w:val="24"/>
          <w:szCs w:val="21"/>
          <w:lang w:eastAsia="zh-Hans"/>
        </w:rPr>
        <w:t>。</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其他模块</w:t>
      </w:r>
    </w:p>
    <w:p>
      <w:pPr>
        <w:numPr>
          <w:ilvl w:val="0"/>
          <w:numId w:val="11"/>
        </w:numPr>
        <w:adjustRightInd w:val="0"/>
        <w:snapToGrid w:val="0"/>
        <w:spacing w:line="360" w:lineRule="auto"/>
        <w:rPr>
          <w:rFonts w:ascii="宋体" w:hAnsi="宋体"/>
          <w:sz w:val="24"/>
          <w:szCs w:val="21"/>
        </w:rPr>
      </w:pPr>
      <w:r>
        <w:rPr>
          <w:rFonts w:hint="eastAsia" w:ascii="宋体" w:hAnsi="宋体"/>
          <w:sz w:val="24"/>
          <w:szCs w:val="21"/>
        </w:rPr>
        <w:t>网页收藏</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提供网址收藏功能，包括展示后台设置的网站和用户自行添加的网址。</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网址展示功能</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1）展示后台设置的网站列表</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）点击网站列表中的网址，跳转至对应网站</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）点击新增用户可自行添加网址，需要输入图标、链接、名称</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意见反馈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提供意见反馈，对平台功能或服务填写反馈意见，提交至后台</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校园通讯录</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用户可以查看各个单位的工作职责和联系方式。</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1）用户可以按部门进行浏览，查看各个单位的工作职责和联系方式。</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）用户可以按人员姓名进行搜索，查找特定人员的工作职责和联系方式。</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）用户可以按电话进行搜索，查找特定电话对应的人员工作职责和联系方式</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lang w:eastAsia="zh-Hans"/>
        </w:rPr>
        <w:t>管理后台</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用户中心</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部门管理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用户可以创建、编辑和删除部门。</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岗位管理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用户可以创建、编辑和删除岗位。</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用户管理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用户可以管理学生用户和教师用户，支持批量导入功能</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标签管理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用户可以创建标签，对指定人群添加标签。</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应用管理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1、应用管理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用户可以新增应用，并设置应用的相关信息。</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）用户可以选择应用的图标。</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）用户可以填写应用的名称。</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）用户可以设置应用的链接，支持移动端和</w:t>
      </w:r>
      <w:r>
        <w:rPr>
          <w:rFonts w:ascii="宋体" w:hAnsi="宋体"/>
          <w:sz w:val="24"/>
          <w:szCs w:val="21"/>
        </w:rPr>
        <w:t>pc端分开设置链接。</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）用户可以选择应用所属的分类。</w:t>
      </w:r>
    </w:p>
    <w:p>
      <w:pPr>
        <w:adjustRightInd w:val="0"/>
        <w:snapToGrid w:val="0"/>
        <w:spacing w:line="360" w:lineRule="auto"/>
        <w:ind w:firstLine="480" w:firstLineChars="200"/>
        <w:rPr>
          <w:rFonts w:ascii="宋体" w:hAnsi="宋体"/>
          <w:sz w:val="24"/>
          <w:szCs w:val="21"/>
        </w:rPr>
      </w:pPr>
      <w:r>
        <w:rPr>
          <w:rFonts w:ascii="宋体" w:hAnsi="宋体"/>
          <w:sz w:val="24"/>
          <w:szCs w:val="21"/>
        </w:rPr>
        <w:t>5</w:t>
      </w:r>
      <w:r>
        <w:rPr>
          <w:rFonts w:hint="eastAsia" w:ascii="宋体" w:hAnsi="宋体"/>
          <w:sz w:val="24"/>
          <w:szCs w:val="21"/>
        </w:rPr>
        <w:t>）用户可以设置应用的可见人群。</w:t>
      </w:r>
    </w:p>
    <w:p>
      <w:pPr>
        <w:adjustRightInd w:val="0"/>
        <w:snapToGrid w:val="0"/>
        <w:spacing w:line="360" w:lineRule="auto"/>
        <w:ind w:firstLine="480" w:firstLineChars="200"/>
        <w:rPr>
          <w:rFonts w:ascii="宋体" w:hAnsi="宋体"/>
          <w:sz w:val="24"/>
          <w:szCs w:val="21"/>
        </w:rPr>
      </w:pPr>
      <w:r>
        <w:rPr>
          <w:rFonts w:ascii="宋体" w:hAnsi="宋体"/>
          <w:sz w:val="24"/>
          <w:szCs w:val="21"/>
        </w:rPr>
        <w:t>6</w:t>
      </w:r>
      <w:r>
        <w:rPr>
          <w:rFonts w:hint="eastAsia" w:ascii="宋体" w:hAnsi="宋体"/>
          <w:sz w:val="24"/>
          <w:szCs w:val="21"/>
        </w:rPr>
        <w:t>）用户可以针对不同终端设置应用的显示或隐藏。</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2、分类管理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对应用进行分类管理，主要包括创建分类、编辑分类、删除分类等功能。</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首页配置</w:t>
      </w:r>
    </w:p>
    <w:p>
      <w:pPr>
        <w:adjustRightInd w:val="0"/>
        <w:snapToGrid w:val="0"/>
        <w:spacing w:line="360" w:lineRule="auto"/>
        <w:ind w:firstLine="480" w:firstLineChars="200"/>
        <w:rPr>
          <w:rFonts w:ascii="宋体" w:hAnsi="宋体"/>
          <w:sz w:val="24"/>
          <w:szCs w:val="21"/>
        </w:rPr>
      </w:pPr>
      <w:r>
        <w:rPr>
          <w:rFonts w:ascii="宋体" w:hAnsi="宋体"/>
          <w:sz w:val="24"/>
          <w:szCs w:val="21"/>
        </w:rPr>
        <w:t>1、</w:t>
      </w:r>
      <w:r>
        <w:rPr>
          <w:rFonts w:hint="eastAsia" w:ascii="宋体" w:hAnsi="宋体"/>
          <w:sz w:val="24"/>
          <w:szCs w:val="21"/>
        </w:rPr>
        <w:t>热门应用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配置首页或办事平台中热门应用信息</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业务直通车管理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用户可以通过应用方式将系统添加到直通车中，并可以进行添加、移除和自定义排序操作</w:t>
      </w:r>
      <w:r>
        <w:rPr>
          <w:rFonts w:ascii="宋体" w:hAnsi="宋体"/>
          <w:sz w:val="24"/>
          <w:szCs w:val="21"/>
        </w:rPr>
        <w:t>。</w:t>
      </w:r>
    </w:p>
    <w:p>
      <w:pPr>
        <w:adjustRightInd w:val="0"/>
        <w:snapToGrid w:val="0"/>
        <w:spacing w:line="360" w:lineRule="auto"/>
        <w:ind w:firstLine="480"/>
        <w:rPr>
          <w:rFonts w:ascii="宋体" w:hAnsi="宋体"/>
          <w:sz w:val="24"/>
          <w:szCs w:val="21"/>
        </w:rPr>
      </w:pPr>
      <w:r>
        <w:rPr>
          <w:rFonts w:hint="eastAsia" w:ascii="宋体" w:hAnsi="宋体"/>
          <w:sz w:val="24"/>
          <w:szCs w:val="21"/>
        </w:rPr>
        <w:t>3、专题管理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用户可以上传自定义的专题图片。</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1）支持上传图片格式：</w:t>
      </w:r>
      <w:r>
        <w:rPr>
          <w:rFonts w:ascii="宋体" w:hAnsi="宋体"/>
          <w:sz w:val="24"/>
          <w:szCs w:val="21"/>
        </w:rPr>
        <w:t>jpg、png、gif。</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）支持上传图片大小限制：最大不超过</w:t>
      </w:r>
      <w:r>
        <w:rPr>
          <w:rFonts w:ascii="宋体" w:hAnsi="宋体"/>
          <w:sz w:val="24"/>
          <w:szCs w:val="21"/>
        </w:rPr>
        <w:t>5MB。</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）支持输入任意合法的</w:t>
      </w:r>
      <w:r>
        <w:rPr>
          <w:rFonts w:ascii="宋体" w:hAnsi="宋体"/>
          <w:sz w:val="24"/>
          <w:szCs w:val="21"/>
        </w:rPr>
        <w:t>URL地址，支持跳转地址为空，表示不进行跳转。</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）支持两种布局方式：</w:t>
      </w:r>
      <w:r>
        <w:rPr>
          <w:rFonts w:ascii="宋体" w:hAnsi="宋体"/>
          <w:sz w:val="24"/>
          <w:szCs w:val="21"/>
        </w:rPr>
        <w:t>1/2布局（一行两个专题图片）、整行布局（一行一个专题图片）。</w:t>
      </w:r>
    </w:p>
    <w:p>
      <w:pPr>
        <w:adjustRightInd w:val="0"/>
        <w:snapToGrid w:val="0"/>
        <w:spacing w:line="360" w:lineRule="auto"/>
        <w:ind w:firstLine="480" w:firstLineChars="200"/>
        <w:rPr>
          <w:rFonts w:ascii="宋体" w:hAnsi="宋体"/>
          <w:color w:val="000000"/>
          <w:sz w:val="24"/>
          <w:szCs w:val="21"/>
        </w:rPr>
      </w:pPr>
      <w:r>
        <w:rPr>
          <w:rFonts w:hint="eastAsia" w:ascii="宋体" w:hAnsi="宋体"/>
          <w:color w:val="000000"/>
          <w:sz w:val="24"/>
          <w:szCs w:val="21"/>
        </w:rPr>
        <w:t>5）可定制主功能区域跳转方案，支持跳转应用列表</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轮播管理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展示后台上传的轮播图，并支持添加链接点击轮播进行跳转</w:t>
      </w:r>
      <w:r>
        <w:rPr>
          <w:rFonts w:ascii="宋体" w:hAnsi="宋体"/>
          <w:sz w:val="24"/>
          <w:szCs w:val="21"/>
        </w:rPr>
        <w:t>。</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权限管理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1、权限管理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用户可点击权限管理模块，添加超管或普通管理员，各类管理员的可操控模块可灵活配置</w:t>
      </w:r>
      <w:r>
        <w:rPr>
          <w:rFonts w:ascii="宋体" w:hAnsi="宋体"/>
          <w:sz w:val="24"/>
          <w:szCs w:val="21"/>
        </w:rPr>
        <w:t>。</w:t>
      </w:r>
    </w:p>
    <w:p>
      <w:pPr>
        <w:adjustRightInd w:val="0"/>
        <w:snapToGrid w:val="0"/>
        <w:spacing w:line="360" w:lineRule="auto"/>
        <w:ind w:firstLine="480"/>
        <w:rPr>
          <w:rFonts w:ascii="宋体" w:hAnsi="宋体"/>
          <w:sz w:val="24"/>
          <w:szCs w:val="21"/>
        </w:rPr>
      </w:pPr>
      <w:r>
        <w:rPr>
          <w:rFonts w:hint="eastAsia" w:ascii="宋体" w:hAnsi="宋体"/>
          <w:sz w:val="24"/>
          <w:szCs w:val="21"/>
        </w:rPr>
        <w:t>2、日程管理员</w:t>
      </w:r>
    </w:p>
    <w:p>
      <w:pPr>
        <w:adjustRightInd w:val="0"/>
        <w:snapToGrid w:val="0"/>
        <w:spacing w:line="360" w:lineRule="auto"/>
        <w:ind w:firstLine="480"/>
        <w:rPr>
          <w:rFonts w:ascii="宋体" w:hAnsi="宋体"/>
          <w:sz w:val="24"/>
          <w:szCs w:val="21"/>
        </w:rPr>
      </w:pPr>
      <w:r>
        <w:rPr>
          <w:rFonts w:hint="eastAsia" w:ascii="宋体" w:hAnsi="宋体"/>
          <w:sz w:val="24"/>
          <w:szCs w:val="21"/>
        </w:rPr>
        <w:t>用户可点击日程管理，选择要添加权限种类（部门、公共），通过部门或标签等添加有权限的人员，其中公共日程可配置管理员可使用的人员范围，用户灵活组建公共日程的人群包。</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通知公告</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后台管理员可以设置多种栏目，用于分类发布通知公告。</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1）添加栏目：后台管理员可以添加新的栏目，并设置栏目名称。</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）编辑栏目：后台管理员可以编辑已存在的栏目，修改栏目名称。</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）删除栏目：后台管理员可以删除不再需要的栏目。</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4）后台管理员可以新增通知公告时，可配置通知公告的可见人群，以满足不同用户的需求。</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站点配置</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1）支持配置站点基本信息</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2）支持网站配置，包含：站点信息、网站名称、网站版权、网站描述、备案信息、地址。</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意见反馈</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前台提交意见反馈，后台承载反馈数据</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1）后台可以查看反馈意见，支持按意见标题、反馈类型、反馈时间进行筛选</w:t>
      </w:r>
      <w:r>
        <w:rPr>
          <w:rFonts w:ascii="宋体" w:hAnsi="宋体"/>
          <w:sz w:val="24"/>
          <w:szCs w:val="21"/>
        </w:rPr>
        <w:t>。</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2）支持导出反馈结果</w:t>
      </w:r>
      <w:r>
        <w:rPr>
          <w:rFonts w:ascii="宋体" w:hAnsi="宋体"/>
          <w:sz w:val="24"/>
          <w:szCs w:val="21"/>
        </w:rPr>
        <w:t>。</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通讯录</w:t>
      </w:r>
    </w:p>
    <w:p>
      <w:pPr>
        <w:adjustRightInd w:val="0"/>
        <w:snapToGrid w:val="0"/>
        <w:spacing w:line="360" w:lineRule="auto"/>
        <w:ind w:firstLine="480" w:firstLineChars="200"/>
        <w:rPr>
          <w:rFonts w:ascii="宋体" w:hAnsi="宋体"/>
          <w:sz w:val="24"/>
          <w:szCs w:val="21"/>
        </w:rPr>
      </w:pPr>
      <w:r>
        <w:rPr>
          <w:rFonts w:ascii="宋体" w:hAnsi="宋体"/>
          <w:sz w:val="24"/>
          <w:szCs w:val="21"/>
        </w:rPr>
        <w:t>本模块的功能是用于维护校园通讯录内容</w:t>
      </w:r>
      <w:r>
        <w:rPr>
          <w:rFonts w:hint="eastAsia" w:ascii="宋体" w:hAnsi="宋体"/>
          <w:sz w:val="24"/>
          <w:szCs w:val="21"/>
        </w:rPr>
        <w:t>，</w:t>
      </w:r>
      <w:r>
        <w:rPr>
          <w:rFonts w:ascii="宋体" w:hAnsi="宋体"/>
          <w:sz w:val="24"/>
          <w:szCs w:val="21"/>
        </w:rPr>
        <w:t>包括部门信息和人员信息。</w:t>
      </w:r>
    </w:p>
    <w:p>
      <w:pPr>
        <w:numPr>
          <w:ilvl w:val="0"/>
          <w:numId w:val="12"/>
        </w:numPr>
        <w:adjustRightInd w:val="0"/>
        <w:snapToGrid w:val="0"/>
        <w:spacing w:line="360" w:lineRule="auto"/>
        <w:ind w:firstLine="480" w:firstLineChars="200"/>
        <w:rPr>
          <w:rFonts w:ascii="宋体" w:hAnsi="宋体"/>
          <w:sz w:val="24"/>
          <w:szCs w:val="21"/>
        </w:rPr>
      </w:pPr>
      <w:r>
        <w:rPr>
          <w:rFonts w:ascii="宋体" w:hAnsi="宋体"/>
          <w:sz w:val="24"/>
          <w:szCs w:val="21"/>
        </w:rPr>
        <w:t>用户可以录入部门信息，包含电话、地址、部门职责等内容。</w:t>
      </w:r>
    </w:p>
    <w:p>
      <w:pPr>
        <w:numPr>
          <w:ilvl w:val="0"/>
          <w:numId w:val="12"/>
        </w:numPr>
        <w:adjustRightInd w:val="0"/>
        <w:snapToGrid w:val="0"/>
        <w:spacing w:line="360" w:lineRule="auto"/>
        <w:ind w:firstLine="480" w:firstLineChars="200"/>
        <w:rPr>
          <w:rFonts w:ascii="宋体" w:hAnsi="宋体"/>
          <w:sz w:val="24"/>
          <w:szCs w:val="21"/>
        </w:rPr>
      </w:pPr>
      <w:r>
        <w:rPr>
          <w:rFonts w:ascii="宋体" w:hAnsi="宋体"/>
          <w:sz w:val="24"/>
          <w:szCs w:val="21"/>
        </w:rPr>
        <w:t>用户也可以维护部门下的人员信息，包括姓名、办公电话、手机、岗位和岗位职责</w:t>
      </w:r>
      <w:r>
        <w:rPr>
          <w:rFonts w:hint="eastAsia" w:ascii="宋体" w:hAnsi="宋体"/>
          <w:sz w:val="24"/>
          <w:szCs w:val="21"/>
        </w:rPr>
        <w:t>，</w:t>
      </w:r>
      <w:r>
        <w:rPr>
          <w:rFonts w:ascii="宋体" w:hAnsi="宋体"/>
          <w:sz w:val="24"/>
          <w:szCs w:val="21"/>
        </w:rPr>
        <w:t>人员的手机号是非必填项</w:t>
      </w:r>
      <w:r>
        <w:rPr>
          <w:rFonts w:hint="eastAsia" w:ascii="宋体" w:hAnsi="宋体"/>
          <w:sz w:val="24"/>
          <w:szCs w:val="21"/>
        </w:rPr>
        <w:t>。</w:t>
      </w:r>
    </w:p>
    <w:p>
      <w:pPr>
        <w:numPr>
          <w:ilvl w:val="0"/>
          <w:numId w:val="12"/>
        </w:numPr>
        <w:adjustRightInd w:val="0"/>
        <w:snapToGrid w:val="0"/>
        <w:spacing w:line="360" w:lineRule="auto"/>
        <w:ind w:firstLine="480" w:firstLineChars="200"/>
        <w:rPr>
          <w:rFonts w:ascii="宋体" w:hAnsi="宋体"/>
          <w:sz w:val="24"/>
          <w:szCs w:val="21"/>
        </w:rPr>
      </w:pPr>
      <w:r>
        <w:rPr>
          <w:rFonts w:ascii="宋体" w:hAnsi="宋体"/>
          <w:sz w:val="24"/>
          <w:szCs w:val="21"/>
        </w:rPr>
        <w:t>用户可以选择是否对学生可见。</w:t>
      </w:r>
    </w:p>
    <w:p>
      <w:pPr>
        <w:numPr>
          <w:ilvl w:val="0"/>
          <w:numId w:val="12"/>
        </w:numPr>
        <w:adjustRightInd w:val="0"/>
        <w:snapToGrid w:val="0"/>
        <w:spacing w:line="360" w:lineRule="auto"/>
        <w:ind w:firstLine="480" w:firstLineChars="200"/>
        <w:rPr>
          <w:rFonts w:ascii="宋体" w:hAnsi="宋体"/>
          <w:sz w:val="24"/>
          <w:szCs w:val="21"/>
        </w:rPr>
      </w:pPr>
      <w:r>
        <w:rPr>
          <w:rFonts w:ascii="宋体" w:hAnsi="宋体"/>
          <w:sz w:val="24"/>
          <w:szCs w:val="21"/>
        </w:rPr>
        <w:t>系统还支持权限下放至各个部门，使其能够自行维护通讯录信息。</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lang w:eastAsia="zh-Hans"/>
        </w:rPr>
        <w:t>移动端</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首页</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w:t>
      </w:r>
      <w:r>
        <w:rPr>
          <w:rFonts w:ascii="宋体" w:hAnsi="宋体"/>
          <w:sz w:val="24"/>
          <w:szCs w:val="21"/>
        </w:rPr>
        <w:t>、</w:t>
      </w:r>
      <w:r>
        <w:rPr>
          <w:rFonts w:hint="eastAsia" w:ascii="宋体" w:hAnsi="宋体"/>
          <w:sz w:val="24"/>
          <w:szCs w:val="21"/>
        </w:rPr>
        <w:t>主功能区</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1）可将四个常用功能固定在首页定不位置，方便用户快速访问。</w:t>
      </w:r>
    </w:p>
    <w:p>
      <w:pPr>
        <w:spacing w:after="120" w:line="300" w:lineRule="auto"/>
        <w:ind w:firstLine="480" w:firstLineChars="200"/>
        <w:rPr>
          <w:color w:val="000000"/>
          <w:sz w:val="24"/>
          <w:szCs w:val="22"/>
        </w:rPr>
      </w:pPr>
      <w:r>
        <w:rPr>
          <w:rFonts w:hint="eastAsia" w:ascii="宋体" w:hAnsi="宋体" w:cs="宋体"/>
          <w:color w:val="000000"/>
          <w:sz w:val="24"/>
          <w:szCs w:val="22"/>
        </w:rPr>
        <w:t>2）可定</w:t>
      </w:r>
      <w:r>
        <w:rPr>
          <w:rFonts w:hint="eastAsia"/>
          <w:color w:val="000000"/>
          <w:sz w:val="24"/>
          <w:szCs w:val="22"/>
        </w:rPr>
        <w:t>制主功能区域跳转方案，支持跳转应用列表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w:t>
      </w:r>
      <w:r>
        <w:rPr>
          <w:rFonts w:ascii="宋体" w:hAnsi="宋体"/>
          <w:sz w:val="24"/>
          <w:szCs w:val="21"/>
        </w:rPr>
        <w:t>、</w:t>
      </w:r>
      <w:r>
        <w:rPr>
          <w:rFonts w:hint="eastAsia" w:ascii="宋体" w:hAnsi="宋体"/>
          <w:sz w:val="24"/>
          <w:szCs w:val="21"/>
        </w:rPr>
        <w:t>专题服务</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用户可以上传自定义的专题图片。</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1）支持上传图片格式：</w:t>
      </w:r>
      <w:r>
        <w:rPr>
          <w:rFonts w:ascii="宋体" w:hAnsi="宋体"/>
          <w:sz w:val="24"/>
          <w:szCs w:val="21"/>
        </w:rPr>
        <w:t>jpg、png、gif。</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）支持上传图片大小限制：最大不超过</w:t>
      </w:r>
      <w:r>
        <w:rPr>
          <w:rFonts w:ascii="宋体" w:hAnsi="宋体"/>
          <w:sz w:val="24"/>
          <w:szCs w:val="21"/>
        </w:rPr>
        <w:t>5MB。</w:t>
      </w:r>
    </w:p>
    <w:p>
      <w:pPr>
        <w:adjustRightInd w:val="0"/>
        <w:snapToGrid w:val="0"/>
        <w:spacing w:line="360" w:lineRule="auto"/>
        <w:ind w:firstLine="480" w:firstLineChars="200"/>
        <w:rPr>
          <w:rFonts w:ascii="宋体" w:hAnsi="宋体"/>
          <w:sz w:val="24"/>
          <w:szCs w:val="21"/>
        </w:rPr>
      </w:pPr>
      <w:r>
        <w:rPr>
          <w:rFonts w:ascii="宋体" w:hAnsi="宋体"/>
          <w:sz w:val="24"/>
          <w:szCs w:val="21"/>
        </w:rPr>
        <w:t>3</w:t>
      </w:r>
      <w:r>
        <w:rPr>
          <w:rFonts w:hint="eastAsia" w:ascii="宋体" w:hAnsi="宋体"/>
          <w:sz w:val="24"/>
          <w:szCs w:val="21"/>
        </w:rPr>
        <w:t>）支持输入任意合法的</w:t>
      </w:r>
      <w:r>
        <w:rPr>
          <w:rFonts w:ascii="宋体" w:hAnsi="宋体"/>
          <w:sz w:val="24"/>
          <w:szCs w:val="21"/>
        </w:rPr>
        <w:t>URL地址，支持跳转地址为空，表示不进行跳转。</w:t>
      </w:r>
    </w:p>
    <w:p>
      <w:pPr>
        <w:adjustRightInd w:val="0"/>
        <w:snapToGrid w:val="0"/>
        <w:spacing w:line="360" w:lineRule="auto"/>
        <w:ind w:firstLine="480" w:firstLineChars="200"/>
        <w:rPr>
          <w:rFonts w:ascii="宋体" w:hAnsi="宋体"/>
          <w:sz w:val="24"/>
          <w:szCs w:val="21"/>
        </w:rPr>
      </w:pPr>
      <w:r>
        <w:rPr>
          <w:rFonts w:ascii="宋体" w:hAnsi="宋体"/>
          <w:sz w:val="24"/>
          <w:szCs w:val="21"/>
        </w:rPr>
        <w:t>4</w:t>
      </w:r>
      <w:r>
        <w:rPr>
          <w:rFonts w:hint="eastAsia" w:ascii="宋体" w:hAnsi="宋体"/>
          <w:sz w:val="24"/>
          <w:szCs w:val="21"/>
        </w:rPr>
        <w:t>）支持两种布局方式：</w:t>
      </w:r>
      <w:r>
        <w:rPr>
          <w:rFonts w:ascii="宋体" w:hAnsi="宋体"/>
          <w:sz w:val="24"/>
          <w:szCs w:val="21"/>
        </w:rPr>
        <w:t>1/2布局（一行两个专题图片）、整行布局（一行一个专题图片）</w:t>
      </w:r>
    </w:p>
    <w:p>
      <w:pPr>
        <w:keepNext/>
        <w:keepLines/>
        <w:numPr>
          <w:ilvl w:val="3"/>
          <w:numId w:val="10"/>
        </w:numPr>
        <w:adjustRightInd w:val="0"/>
        <w:snapToGrid w:val="0"/>
        <w:spacing w:before="156" w:beforeLines="50" w:after="156" w:afterLines="50" w:line="360" w:lineRule="auto"/>
        <w:ind w:firstLine="200"/>
        <w:jc w:val="left"/>
        <w:outlineLvl w:val="3"/>
        <w:rPr>
          <w:rFonts w:ascii="宋体" w:hAnsi="Cambria"/>
          <w:b/>
          <w:bCs/>
          <w:sz w:val="24"/>
        </w:rPr>
      </w:pPr>
      <w:r>
        <w:rPr>
          <w:rFonts w:hint="eastAsia" w:ascii="宋体" w:hAnsi="Cambria"/>
          <w:b/>
          <w:bCs/>
          <w:sz w:val="24"/>
        </w:rPr>
        <w:t>我的</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绑定微信，支持和微信进行绑定登录，下次登录无需输入账号密码。</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lang w:eastAsia="zh-Hans"/>
        </w:rPr>
        <w:t>移动校园应用</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lang w:eastAsia="zh-Hans"/>
        </w:rPr>
        <w:t>本次移动校园建设计划实现班车</w:t>
      </w:r>
      <w:r>
        <w:rPr>
          <w:rFonts w:ascii="宋体" w:hAnsi="宋体"/>
          <w:sz w:val="24"/>
          <w:szCs w:val="21"/>
          <w:lang w:eastAsia="zh-Hans"/>
        </w:rPr>
        <w:t>、</w:t>
      </w:r>
      <w:r>
        <w:rPr>
          <w:rFonts w:hint="eastAsia" w:ascii="宋体" w:hAnsi="宋体"/>
          <w:sz w:val="24"/>
          <w:szCs w:val="21"/>
          <w:lang w:eastAsia="zh-Hans"/>
        </w:rPr>
        <w:t>万能表单</w:t>
      </w:r>
      <w:r>
        <w:rPr>
          <w:rFonts w:ascii="宋体" w:hAnsi="宋体"/>
          <w:sz w:val="24"/>
          <w:szCs w:val="21"/>
          <w:lang w:eastAsia="zh-Hans"/>
        </w:rPr>
        <w:t>、</w:t>
      </w:r>
      <w:r>
        <w:rPr>
          <w:rFonts w:hint="eastAsia" w:ascii="宋体" w:hAnsi="宋体"/>
          <w:sz w:val="24"/>
          <w:szCs w:val="21"/>
          <w:lang w:eastAsia="zh-Hans"/>
        </w:rPr>
        <w:t>失物招领</w:t>
      </w:r>
      <w:r>
        <w:rPr>
          <w:rFonts w:ascii="宋体" w:hAnsi="宋体"/>
          <w:sz w:val="24"/>
          <w:szCs w:val="21"/>
          <w:lang w:eastAsia="zh-Hans"/>
        </w:rPr>
        <w:t>、</w:t>
      </w:r>
      <w:r>
        <w:rPr>
          <w:rFonts w:hint="eastAsia" w:ascii="宋体" w:hAnsi="宋体"/>
          <w:sz w:val="24"/>
          <w:szCs w:val="21"/>
          <w:lang w:eastAsia="zh-Hans"/>
        </w:rPr>
        <w:t>跳蚤市场</w:t>
      </w:r>
      <w:r>
        <w:rPr>
          <w:rFonts w:ascii="宋体" w:hAnsi="宋体"/>
          <w:sz w:val="24"/>
          <w:szCs w:val="21"/>
          <w:lang w:eastAsia="zh-Hans"/>
        </w:rPr>
        <w:t>、</w:t>
      </w:r>
      <w:r>
        <w:rPr>
          <w:rFonts w:hint="eastAsia" w:ascii="宋体" w:hAnsi="宋体"/>
          <w:sz w:val="24"/>
          <w:szCs w:val="21"/>
          <w:lang w:eastAsia="zh-Hans"/>
        </w:rPr>
        <w:t>空闲教室</w:t>
      </w:r>
      <w:r>
        <w:rPr>
          <w:rFonts w:ascii="宋体" w:hAnsi="宋体"/>
          <w:sz w:val="24"/>
          <w:szCs w:val="21"/>
          <w:lang w:eastAsia="zh-Hans"/>
        </w:rPr>
        <w:t>、</w:t>
      </w:r>
      <w:r>
        <w:rPr>
          <w:rFonts w:hint="eastAsia" w:ascii="宋体" w:hAnsi="宋体"/>
          <w:sz w:val="24"/>
          <w:szCs w:val="21"/>
          <w:lang w:eastAsia="zh-Hans"/>
        </w:rPr>
        <w:t>邮箱和与深澜网络计费系统的对接</w:t>
      </w:r>
      <w:r>
        <w:rPr>
          <w:rFonts w:ascii="宋体" w:hAnsi="宋体"/>
          <w:sz w:val="24"/>
          <w:szCs w:val="21"/>
          <w:lang w:eastAsia="zh-Hans"/>
        </w:rPr>
        <w:t>。</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lang w:eastAsia="zh-Hans"/>
        </w:rPr>
        <w:t>班车查询</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为学校师生提供班车路线查询功能。</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支持创建多条班车路线，每条路线可设置发车时间、始发站、终点站、途经站点、发车日期、日期范围。</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途经站点支持在地图上可视化选择。</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▲发车日期可灵活配置，支持按每日、每周某几日重复、日期自由设置三种方式进行配置，以满足学校不同场景下的线路需求以及特殊时期，例如节假日的班车管理。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班车路线可方便的开启、关闭。</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用户进入班车页面可直观查看到当天的班车线路，包括发车时间，预计到达时间、途经站点。支持按照不同的始发站/终点站对线路进行分类。</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▲移动端能够展示本周的日历，用户可点击快速查看本周的班车情况。</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▲班车线路详情页能够在地图上可视化展示各站点，并为用户进行导航，规划合理线路。</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万能</w:t>
      </w:r>
      <w:r>
        <w:rPr>
          <w:rFonts w:hint="eastAsia" w:ascii="宋体" w:hAnsi="宋体"/>
          <w:b/>
          <w:bCs/>
          <w:sz w:val="24"/>
          <w:lang w:eastAsia="zh-Hans"/>
        </w:rPr>
        <w:t>表单</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1）支持自定义创建表单提交项目的功能模块，通过自定义添加内容、提交项目字段名称，创建各种类型的内容提交页面。便于数据采集，可以为学校其他建设做数据支持。</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2）如果字段信息储存在学校系统中，平台能够自动获取信息，减少用户重复性操作。</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3）需要支持用户提交后的数据会在后台显示，支持导出数据。</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4）需提供多种风格可供选择</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失物招领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提供移动端的校内丢失物品信息交流平台，师生在线发布物品信息（寻物/招领），为师生及时发布和找回遗失物品信息提供更加便捷的途径。</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用户可以查看到发布的招领信息和遗失信息，支持按物品搜素。在失物招领首页，用户可以发布招领和进行遗失登记，也可以查看自己发布过的招领信息和遗失信息。</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跳蚤市场</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提供移动端二手闲置物品发布平台，用于广大师生交易或交换闲置物品，充分发挥闲置物品的价值。</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可同时支持移动端发布与后台发布物品。</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支持用户根据物品类别、校区快速筛选物品，可按照时间、价格和热度对物品进行排序。</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支持收藏喜欢的物品。</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空闲教室</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对接学校教务系统和研究生系统，学生可在移动端查询学校教室的占用情况及教室当前拥挤程度，帮助学生快速找到空闲的自习教室。</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支持选择指定日期与节次的空闲教室。</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支持查找多个时间段的空闲教室，并取交集或并集。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支持按校区和教学楼分类显示空闲教室。</w:t>
      </w:r>
    </w:p>
    <w:p>
      <w:pPr>
        <w:spacing w:after="120" w:line="300" w:lineRule="auto"/>
        <w:rPr>
          <w:sz w:val="24"/>
          <w:szCs w:val="22"/>
        </w:rPr>
      </w:pPr>
      <w:r>
        <w:rPr>
          <w:rFonts w:hint="eastAsia"/>
          <w:sz w:val="24"/>
          <w:szCs w:val="22"/>
        </w:rPr>
        <w:t xml:space="preserve"> </w:t>
      </w:r>
      <w:r>
        <w:rPr>
          <w:sz w:val="24"/>
          <w:szCs w:val="22"/>
        </w:rPr>
        <w:t xml:space="preserve">   </w:t>
      </w:r>
      <w:r>
        <w:rPr>
          <w:rFonts w:hint="eastAsia"/>
          <w:sz w:val="24"/>
          <w:szCs w:val="22"/>
        </w:rPr>
        <w:t>支持嵌入到一网通办门户的应用中心。</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深澜</w:t>
      </w:r>
      <w:r>
        <w:rPr>
          <w:rFonts w:hint="eastAsia" w:ascii="宋体" w:hAnsi="宋体"/>
          <w:b/>
          <w:bCs/>
          <w:sz w:val="24"/>
          <w:lang w:eastAsia="zh-Hans"/>
        </w:rPr>
        <w:t>网络系统对接</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对接深澜网络计费系统，实现以下功能：</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1）流量信息</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2）查看在线设备</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3）充值记录</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4）上网明细</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5）修改密码</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6）修改密码（无需原密码）</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7）上网明细(带搜索)</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8）激活账户</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学生邮箱</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对接学校学生邮箱系统，实现免登录进入个人移动端邮箱。</w:t>
      </w:r>
    </w:p>
    <w:p>
      <w:pPr>
        <w:keepNext/>
        <w:keepLines/>
        <w:numPr>
          <w:ilvl w:val="2"/>
          <w:numId w:val="10"/>
        </w:numPr>
        <w:adjustRightInd w:val="0"/>
        <w:snapToGrid w:val="0"/>
        <w:spacing w:line="360" w:lineRule="auto"/>
        <w:ind w:firstLine="200"/>
        <w:jc w:val="left"/>
        <w:outlineLvl w:val="2"/>
        <w:rPr>
          <w:rFonts w:ascii="宋体" w:hAnsi="宋体"/>
          <w:b/>
          <w:bCs/>
          <w:sz w:val="24"/>
        </w:rPr>
      </w:pPr>
      <w:r>
        <w:rPr>
          <w:rFonts w:hint="eastAsia" w:ascii="宋体" w:hAnsi="宋体"/>
          <w:b/>
          <w:bCs/>
          <w:sz w:val="24"/>
        </w:rPr>
        <w:t>教工邮箱</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对接学校教工邮箱系统，实现免登录进入个人移动端邮箱。</w:t>
      </w:r>
    </w:p>
    <w:p>
      <w:pPr>
        <w:adjustRightInd w:val="0"/>
        <w:snapToGrid w:val="0"/>
        <w:spacing w:line="360" w:lineRule="auto"/>
        <w:ind w:firstLine="480" w:firstLineChars="200"/>
        <w:rPr>
          <w:rFonts w:ascii="宋体" w:hAnsi="宋体"/>
          <w:sz w:val="24"/>
          <w:szCs w:val="21"/>
        </w:rPr>
      </w:pPr>
    </w:p>
    <w:p>
      <w:pPr>
        <w:keepNext/>
        <w:keepLines/>
        <w:numPr>
          <w:ilvl w:val="0"/>
          <w:numId w:val="10"/>
        </w:numPr>
        <w:adjustRightInd w:val="0"/>
        <w:snapToGrid w:val="0"/>
        <w:spacing w:after="156" w:line="360" w:lineRule="auto"/>
        <w:ind w:firstLine="200"/>
        <w:jc w:val="left"/>
        <w:outlineLvl w:val="0"/>
        <w:rPr>
          <w:rFonts w:ascii="宋体" w:hAnsi="宋体"/>
          <w:b/>
          <w:bCs/>
          <w:kern w:val="44"/>
          <w:sz w:val="28"/>
          <w:szCs w:val="28"/>
        </w:rPr>
      </w:pPr>
      <w:r>
        <w:rPr>
          <w:rFonts w:hint="eastAsia" w:ascii="宋体" w:hAnsi="宋体"/>
          <w:b/>
          <w:bCs/>
          <w:kern w:val="44"/>
          <w:sz w:val="28"/>
          <w:szCs w:val="28"/>
        </w:rPr>
        <w:t>技术要求</w:t>
      </w:r>
      <w:bookmarkEnd w:id="268"/>
      <w:bookmarkEnd w:id="269"/>
      <w:bookmarkEnd w:id="271"/>
      <w:bookmarkEnd w:id="272"/>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rPr>
        <w:t>系统对接要求</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能够支持CAS\LDAP等统一身份认证协议，支持与市场主要供应商身份认证平台的对接。系统对外提供的程序调用接口符合RESTful及OAuth规范。</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rPr>
        <w:t>兼容性要求</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基于平台的开发不依赖于任何特定程序开发语言和开发工具；支持主流浏览器（IE10+、Chrome、火狐、Edge、搜狗、QQ浏览器、360等浏览器）及其移动版本。</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rPr>
        <w:t>安全性要求</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1）系统支持SSL证书，全系统页面使用HTTPS。</w:t>
      </w:r>
    </w:p>
    <w:p>
      <w:pPr>
        <w:adjustRightInd w:val="0"/>
        <w:snapToGrid w:val="0"/>
        <w:spacing w:line="360" w:lineRule="auto"/>
        <w:ind w:firstLine="480" w:firstLineChars="200"/>
        <w:rPr>
          <w:rFonts w:ascii="宋体" w:hAnsi="宋体"/>
          <w:sz w:val="24"/>
          <w:szCs w:val="21"/>
        </w:rPr>
      </w:pPr>
      <w:r>
        <w:rPr>
          <w:rFonts w:ascii="宋体" w:hAnsi="宋体"/>
          <w:sz w:val="24"/>
          <w:szCs w:val="21"/>
        </w:rPr>
        <w:t>2</w:t>
      </w:r>
      <w:r>
        <w:rPr>
          <w:rFonts w:hint="eastAsia" w:ascii="宋体" w:hAnsi="宋体"/>
          <w:sz w:val="24"/>
          <w:szCs w:val="21"/>
        </w:rPr>
        <w:t>）</w:t>
      </w:r>
      <w:bookmarkStart w:id="273" w:name="_Hlk68960970"/>
      <w:r>
        <w:rPr>
          <w:rFonts w:hint="eastAsia" w:ascii="宋体" w:hAnsi="宋体"/>
          <w:sz w:val="24"/>
          <w:szCs w:val="21"/>
        </w:rPr>
        <w:t>★</w:t>
      </w:r>
      <w:bookmarkEnd w:id="273"/>
      <w:r>
        <w:rPr>
          <w:rFonts w:hint="eastAsia" w:ascii="宋体" w:hAnsi="宋体"/>
          <w:sz w:val="24"/>
          <w:szCs w:val="21"/>
        </w:rPr>
        <w:t>采用PHP、Python或Ruby语言中的一种或多种，能够对系统的保密数据进行Zend加密以防止SQL注入等攻击。</w:t>
      </w:r>
      <w:r>
        <w:rPr>
          <w:rFonts w:ascii="宋体" w:hAnsi="宋体"/>
          <w:b/>
          <w:bCs/>
          <w:sz w:val="24"/>
          <w:szCs w:val="21"/>
        </w:rPr>
        <w:t>（提供书面承诺函）</w:t>
      </w:r>
    </w:p>
    <w:p>
      <w:pPr>
        <w:adjustRightInd w:val="0"/>
        <w:snapToGrid w:val="0"/>
        <w:spacing w:line="360" w:lineRule="auto"/>
        <w:ind w:firstLine="480" w:firstLineChars="200"/>
        <w:rPr>
          <w:rFonts w:ascii="宋体" w:hAnsi="宋体"/>
          <w:sz w:val="24"/>
          <w:szCs w:val="21"/>
        </w:rPr>
      </w:pPr>
    </w:p>
    <w:p>
      <w:pPr>
        <w:keepNext/>
        <w:keepLines/>
        <w:numPr>
          <w:ilvl w:val="0"/>
          <w:numId w:val="10"/>
        </w:numPr>
        <w:adjustRightInd w:val="0"/>
        <w:snapToGrid w:val="0"/>
        <w:spacing w:after="156" w:line="360" w:lineRule="auto"/>
        <w:ind w:firstLine="200"/>
        <w:jc w:val="left"/>
        <w:outlineLvl w:val="0"/>
        <w:rPr>
          <w:rFonts w:ascii="宋体" w:hAnsi="宋体"/>
          <w:b/>
          <w:bCs/>
          <w:kern w:val="44"/>
          <w:sz w:val="28"/>
          <w:szCs w:val="28"/>
        </w:rPr>
      </w:pPr>
      <w:r>
        <w:rPr>
          <w:rFonts w:hint="eastAsia" w:ascii="宋体" w:hAnsi="宋体"/>
          <w:b/>
          <w:bCs/>
          <w:kern w:val="44"/>
          <w:sz w:val="28"/>
          <w:szCs w:val="28"/>
        </w:rPr>
        <w:t>集成要求</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在服务期内，对学校已有的第三方服务进行集成或对接，支持第三方或数据中心接口对接；提供完备的</w:t>
      </w:r>
      <w:r>
        <w:rPr>
          <w:rFonts w:ascii="宋体" w:hAnsi="宋体"/>
          <w:sz w:val="24"/>
          <w:szCs w:val="21"/>
        </w:rPr>
        <w:t xml:space="preserve"> API 接口体系和相关说明文档，接口需支持 OAuth2.0协议并经过长期的测试及案例验证。 </w:t>
      </w:r>
    </w:p>
    <w:p>
      <w:pPr>
        <w:adjustRightInd w:val="0"/>
        <w:snapToGrid w:val="0"/>
        <w:spacing w:line="360" w:lineRule="auto"/>
        <w:ind w:firstLine="480" w:firstLineChars="200"/>
        <w:rPr>
          <w:rFonts w:ascii="宋体" w:hAnsi="宋体"/>
          <w:sz w:val="24"/>
          <w:szCs w:val="21"/>
        </w:rPr>
      </w:pPr>
      <w:r>
        <w:rPr>
          <w:rFonts w:hint="eastAsia" w:ascii="宋体" w:hAnsi="宋体"/>
          <w:sz w:val="24"/>
          <w:szCs w:val="21"/>
        </w:rPr>
        <w:t>集成系统包括：统一身份认证、数据中心、</w:t>
      </w:r>
      <w:r>
        <w:rPr>
          <w:rFonts w:hint="eastAsia" w:ascii="宋体" w:hAnsi="宋体"/>
          <w:sz w:val="24"/>
          <w:szCs w:val="21"/>
          <w:lang w:eastAsia="zh-Hans"/>
        </w:rPr>
        <w:t>移动校园</w:t>
      </w:r>
      <w:r>
        <w:rPr>
          <w:rFonts w:hint="eastAsia" w:ascii="宋体" w:hAnsi="宋体"/>
          <w:sz w:val="24"/>
          <w:szCs w:val="21"/>
        </w:rPr>
        <w:t>、</w:t>
      </w:r>
      <w:r>
        <w:rPr>
          <w:rFonts w:hint="eastAsia" w:ascii="宋体" w:hAnsi="宋体"/>
          <w:sz w:val="24"/>
          <w:szCs w:val="21"/>
          <w:lang w:eastAsia="zh-Hans"/>
        </w:rPr>
        <w:t>办事大厅</w:t>
      </w:r>
      <w:r>
        <w:rPr>
          <w:rFonts w:ascii="宋体" w:hAnsi="宋体"/>
          <w:sz w:val="24"/>
          <w:szCs w:val="21"/>
        </w:rPr>
        <w:t>等。</w:t>
      </w:r>
    </w:p>
    <w:p>
      <w:pPr>
        <w:adjustRightInd w:val="0"/>
        <w:snapToGrid w:val="0"/>
        <w:spacing w:line="360" w:lineRule="auto"/>
        <w:ind w:left="480"/>
        <w:rPr>
          <w:rFonts w:ascii="宋体" w:hAnsi="宋体"/>
          <w:sz w:val="24"/>
          <w:szCs w:val="21"/>
        </w:rPr>
      </w:pPr>
      <w:r>
        <w:rPr>
          <w:rFonts w:ascii="宋体" w:hAnsi="宋体"/>
          <w:sz w:val="24"/>
          <w:szCs w:val="21"/>
        </w:rPr>
        <w:br w:type="page"/>
      </w:r>
    </w:p>
    <w:bookmarkEnd w:id="267"/>
    <w:bookmarkEnd w:id="270"/>
    <w:p>
      <w:pPr>
        <w:keepNext/>
        <w:keepLines/>
        <w:numPr>
          <w:ilvl w:val="0"/>
          <w:numId w:val="10"/>
        </w:numPr>
        <w:adjustRightInd w:val="0"/>
        <w:snapToGrid w:val="0"/>
        <w:spacing w:after="156" w:line="360" w:lineRule="auto"/>
        <w:ind w:firstLine="200"/>
        <w:jc w:val="left"/>
        <w:outlineLvl w:val="0"/>
        <w:rPr>
          <w:rFonts w:ascii="宋体" w:hAnsi="宋体"/>
          <w:b/>
          <w:bCs/>
          <w:kern w:val="44"/>
          <w:sz w:val="28"/>
          <w:szCs w:val="28"/>
        </w:rPr>
      </w:pPr>
      <w:r>
        <w:rPr>
          <w:rFonts w:hint="eastAsia" w:ascii="宋体" w:hAnsi="宋体"/>
          <w:b/>
          <w:bCs/>
          <w:kern w:val="44"/>
          <w:sz w:val="28"/>
          <w:szCs w:val="28"/>
        </w:rPr>
        <w:t>支持服务及其他要求</w:t>
      </w:r>
    </w:p>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hint="eastAsia" w:ascii="宋体" w:hAnsi="Cambria"/>
          <w:b/>
          <w:bCs/>
          <w:sz w:val="24"/>
          <w:lang w:eastAsia="zh-Hans"/>
        </w:rPr>
        <w:t>支持服务</w:t>
      </w:r>
      <w:r>
        <w:rPr>
          <w:rFonts w:ascii="宋体" w:hAnsi="Cambria"/>
          <w:b/>
          <w:bCs/>
          <w:sz w:val="24"/>
        </w:rPr>
        <w:t xml:space="preserve"> </w:t>
      </w:r>
    </w:p>
    <w:p>
      <w:pPr>
        <w:adjustRightInd w:val="0"/>
        <w:snapToGrid w:val="0"/>
        <w:spacing w:line="360" w:lineRule="auto"/>
        <w:ind w:firstLine="480" w:firstLineChars="200"/>
        <w:rPr>
          <w:lang w:eastAsia="zh-Hans"/>
        </w:rPr>
      </w:pPr>
      <w:bookmarkStart w:id="274" w:name="_Hlk70922215"/>
      <w:r>
        <w:rPr>
          <w:rFonts w:ascii="宋体" w:hAnsi="宋体"/>
          <w:sz w:val="24"/>
          <w:szCs w:val="21"/>
          <w:lang w:eastAsia="zh-Hans"/>
        </w:rPr>
        <w:t xml:space="preserve">需提供服务体系、售后服务内容、培训计划、培训内容和保证培训成效的措施。 </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1、售后服务</w:t>
      </w:r>
    </w:p>
    <w:p>
      <w:pPr>
        <w:adjustRightInd w:val="0"/>
        <w:snapToGrid w:val="0"/>
        <w:spacing w:line="360" w:lineRule="auto"/>
        <w:ind w:firstLine="480" w:firstLineChars="200"/>
        <w:rPr>
          <w:rFonts w:ascii="宋体" w:hAnsi="宋体"/>
          <w:sz w:val="24"/>
          <w:szCs w:val="21"/>
        </w:rPr>
      </w:pPr>
      <w:r>
        <w:rPr>
          <w:rFonts w:ascii="宋体" w:hAnsi="宋体"/>
          <w:sz w:val="24"/>
          <w:szCs w:val="21"/>
        </w:rPr>
        <w:t>1）提供3年免费维保服务。在免费维保期内，</w:t>
      </w:r>
      <w:r>
        <w:rPr>
          <w:rFonts w:hint="eastAsia" w:ascii="宋体" w:hAnsi="宋体"/>
          <w:sz w:val="24"/>
          <w:szCs w:val="21"/>
          <w:lang w:eastAsia="zh-Hans"/>
        </w:rPr>
        <w:t>提供</w:t>
      </w:r>
      <w:r>
        <w:rPr>
          <w:rFonts w:ascii="宋体" w:hAnsi="宋体"/>
          <w:sz w:val="24"/>
          <w:szCs w:val="21"/>
        </w:rPr>
        <w:t>7*24小时</w:t>
      </w:r>
      <w:r>
        <w:rPr>
          <w:rFonts w:ascii="宋体" w:hAnsi="宋体"/>
          <w:sz w:val="24"/>
          <w:szCs w:val="21"/>
          <w:lang w:eastAsia="zh-Hans"/>
        </w:rPr>
        <w:t>不间断</w:t>
      </w:r>
      <w:r>
        <w:rPr>
          <w:rFonts w:ascii="宋体" w:hAnsi="宋体"/>
          <w:sz w:val="24"/>
          <w:szCs w:val="21"/>
        </w:rPr>
        <w:t>（节假日不休）的服务响应，</w:t>
      </w:r>
      <w:r>
        <w:rPr>
          <w:rFonts w:ascii="宋体" w:hAnsi="宋体"/>
          <w:sz w:val="24"/>
          <w:szCs w:val="21"/>
          <w:lang w:eastAsia="zh-Hans"/>
        </w:rPr>
        <w:t>对用户问题的响应时间不超过2小时</w:t>
      </w:r>
      <w:r>
        <w:rPr>
          <w:rFonts w:ascii="宋体" w:hAnsi="宋体"/>
          <w:sz w:val="24"/>
          <w:szCs w:val="21"/>
        </w:rPr>
        <w:t>。如采购人有需要，实施方技术人员要在同城8小时之内，跨省24小时内赶到现场予以技术支持。维护期从系统验收之日起开始计算。</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2）用户要求现场排查问题时，需要无条件答应并第一时间内赶赴用户现场。</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rPr>
        <w:t>2、</w:t>
      </w:r>
      <w:r>
        <w:rPr>
          <w:rFonts w:ascii="宋体" w:hAnsi="宋体"/>
          <w:sz w:val="24"/>
          <w:szCs w:val="21"/>
          <w:lang w:eastAsia="zh-Hans"/>
        </w:rPr>
        <w:t>培训</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需要对管理员提供详细的培训，使管理员对于后台功能能够进行熟练的操作。</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3、实施</w:t>
      </w:r>
    </w:p>
    <w:p>
      <w:pPr>
        <w:adjustRightInd w:val="0"/>
        <w:snapToGrid w:val="0"/>
        <w:spacing w:line="360" w:lineRule="auto"/>
        <w:ind w:firstLine="480" w:firstLineChars="200"/>
        <w:rPr>
          <w:rFonts w:ascii="宋体" w:hAnsi="宋体"/>
          <w:sz w:val="24"/>
          <w:szCs w:val="21"/>
        </w:rPr>
      </w:pPr>
      <w:r>
        <w:rPr>
          <w:rFonts w:ascii="宋体" w:hAnsi="宋体"/>
          <w:sz w:val="24"/>
          <w:szCs w:val="21"/>
        </w:rPr>
        <w:t>1）合同签订后9个月内完成系统上线，试运行期自系统上线之日起至少3个月。</w:t>
      </w:r>
    </w:p>
    <w:p>
      <w:pPr>
        <w:adjustRightInd w:val="0"/>
        <w:snapToGrid w:val="0"/>
        <w:spacing w:line="360" w:lineRule="auto"/>
        <w:ind w:firstLine="480" w:firstLineChars="200"/>
        <w:rPr>
          <w:rFonts w:ascii="宋体" w:hAnsi="宋体"/>
          <w:sz w:val="24"/>
          <w:szCs w:val="21"/>
        </w:rPr>
      </w:pPr>
      <w:r>
        <w:rPr>
          <w:rFonts w:ascii="宋体" w:hAnsi="宋体"/>
          <w:sz w:val="24"/>
          <w:szCs w:val="21"/>
        </w:rPr>
        <w:t>2）提供专业的技术支持工程师，对反馈的产品问题及时迅速响应，服务期内提供7*24免费技术支持。</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 xml:space="preserve">3）需根据本项目实际情况，提供详细的项目组织及实施方案，能够进行准确、有效、完整的项目进度安排、建设进度保障及合理的人员安排。 </w:t>
      </w:r>
    </w:p>
    <w:p>
      <w:pPr>
        <w:pStyle w:val="2"/>
      </w:pPr>
    </w:p>
    <w:bookmarkEnd w:id="274"/>
    <w:p>
      <w:pPr>
        <w:keepNext/>
        <w:keepLines/>
        <w:numPr>
          <w:ilvl w:val="1"/>
          <w:numId w:val="10"/>
        </w:numPr>
        <w:adjustRightInd w:val="0"/>
        <w:snapToGrid w:val="0"/>
        <w:spacing w:line="360" w:lineRule="auto"/>
        <w:ind w:left="0" w:firstLine="200"/>
        <w:jc w:val="left"/>
        <w:outlineLvl w:val="1"/>
        <w:rPr>
          <w:rFonts w:ascii="宋体" w:hAnsi="Cambria"/>
          <w:b/>
          <w:bCs/>
          <w:sz w:val="24"/>
        </w:rPr>
      </w:pPr>
      <w:r>
        <w:rPr>
          <w:rFonts w:ascii="宋体" w:hAnsi="Cambria"/>
          <w:b/>
          <w:bCs/>
          <w:sz w:val="24"/>
        </w:rPr>
        <w:t xml:space="preserve">其他要求 </w:t>
      </w:r>
    </w:p>
    <w:p>
      <w:pPr>
        <w:adjustRightInd w:val="0"/>
        <w:snapToGrid w:val="0"/>
        <w:spacing w:line="360" w:lineRule="auto"/>
        <w:ind w:firstLine="480" w:firstLineChars="200"/>
        <w:rPr>
          <w:rFonts w:ascii="宋体" w:hAnsi="宋体"/>
          <w:sz w:val="24"/>
          <w:szCs w:val="21"/>
        </w:rPr>
      </w:pPr>
      <w:r>
        <w:rPr>
          <w:rFonts w:ascii="宋体" w:hAnsi="宋体"/>
          <w:sz w:val="24"/>
          <w:szCs w:val="21"/>
        </w:rPr>
        <w:t>1、★合同签订生效后5日内完成基础平台的部署，提供系统并通过采购人初验，如初验确认和投标响应不一致，采购人有权以虚假应标终止合同。</w:t>
      </w:r>
    </w:p>
    <w:p>
      <w:pPr>
        <w:adjustRightInd w:val="0"/>
        <w:snapToGrid w:val="0"/>
        <w:spacing w:line="360" w:lineRule="auto"/>
        <w:ind w:firstLine="480" w:firstLineChars="200"/>
        <w:rPr>
          <w:rFonts w:ascii="宋体" w:hAnsi="宋体"/>
          <w:sz w:val="24"/>
          <w:szCs w:val="21"/>
        </w:rPr>
      </w:pPr>
      <w:r>
        <w:rPr>
          <w:rFonts w:ascii="宋体" w:hAnsi="宋体"/>
          <w:sz w:val="24"/>
          <w:szCs w:val="21"/>
        </w:rPr>
        <w:t>2、★合同签订后9个月内完成系统建设。如无法按期完成，甲方有权部分或全部解除合同并要求乙方赔偿由此造成的损失及甲方因此产生的对第三方的责任。此时甲方可采取必要的补救措施，相关费用由乙方承担。</w:t>
      </w:r>
    </w:p>
    <w:p>
      <w:pPr>
        <w:adjustRightInd w:val="0"/>
        <w:snapToGrid w:val="0"/>
        <w:spacing w:line="360" w:lineRule="auto"/>
        <w:ind w:firstLine="480" w:firstLineChars="200"/>
        <w:rPr>
          <w:rFonts w:ascii="宋体" w:hAnsi="宋体"/>
          <w:sz w:val="24"/>
          <w:szCs w:val="21"/>
        </w:rPr>
      </w:pPr>
      <w:r>
        <w:rPr>
          <w:rFonts w:ascii="宋体" w:hAnsi="宋体"/>
          <w:sz w:val="24"/>
          <w:szCs w:val="21"/>
        </w:rPr>
        <w:t>3、★上线前，提供部署产品由中华人民共和国公安部颁发的三级等保证书。</w:t>
      </w:r>
      <w:r>
        <w:rPr>
          <w:rFonts w:hint="eastAsia" w:ascii="宋体" w:hAnsi="宋体"/>
          <w:b/>
          <w:bCs/>
          <w:sz w:val="24"/>
          <w:szCs w:val="21"/>
        </w:rPr>
        <w:t>（提供书面承诺函）</w:t>
      </w:r>
    </w:p>
    <w:p>
      <w:pPr>
        <w:adjustRightInd w:val="0"/>
        <w:snapToGrid w:val="0"/>
        <w:spacing w:line="360" w:lineRule="auto"/>
        <w:ind w:firstLine="480" w:firstLineChars="200"/>
        <w:rPr>
          <w:rFonts w:ascii="宋体" w:hAnsi="宋体"/>
          <w:sz w:val="24"/>
          <w:szCs w:val="21"/>
        </w:rPr>
      </w:pPr>
      <w:r>
        <w:rPr>
          <w:rFonts w:ascii="宋体" w:hAnsi="宋体"/>
          <w:sz w:val="24"/>
          <w:szCs w:val="21"/>
        </w:rPr>
        <w:t>4、★上线前，提供部署产品通过教育部等保测评中心三级等保测评的证明，且得分不低于80分。</w:t>
      </w:r>
      <w:r>
        <w:rPr>
          <w:rFonts w:hint="eastAsia" w:ascii="宋体" w:hAnsi="宋体"/>
          <w:b/>
          <w:bCs/>
          <w:sz w:val="24"/>
          <w:szCs w:val="21"/>
        </w:rPr>
        <w:t>（提供书面承诺函）</w:t>
      </w:r>
    </w:p>
    <w:p>
      <w:pPr>
        <w:adjustRightInd w:val="0"/>
        <w:snapToGrid w:val="0"/>
        <w:spacing w:line="360" w:lineRule="auto"/>
        <w:ind w:firstLine="480" w:firstLineChars="200"/>
        <w:rPr>
          <w:rFonts w:ascii="宋体" w:hAnsi="宋体"/>
          <w:b/>
          <w:bCs/>
          <w:sz w:val="24"/>
          <w:szCs w:val="21"/>
        </w:rPr>
      </w:pPr>
      <w:r>
        <w:rPr>
          <w:rFonts w:ascii="宋体" w:hAnsi="宋体"/>
          <w:sz w:val="24"/>
          <w:szCs w:val="21"/>
        </w:rPr>
        <w:t>5、</w:t>
      </w:r>
      <w:r>
        <w:rPr>
          <w:rFonts w:hint="eastAsia" w:ascii="宋体" w:hAnsi="宋体"/>
          <w:sz w:val="24"/>
          <w:szCs w:val="21"/>
        </w:rPr>
        <w:t>★</w:t>
      </w:r>
      <w:r>
        <w:rPr>
          <w:rFonts w:hint="eastAsia" w:ascii="宋体" w:hAnsi="宋体"/>
          <w:sz w:val="24"/>
          <w:szCs w:val="21"/>
          <w:lang w:eastAsia="zh-Hans"/>
        </w:rPr>
        <w:t>办事大厅及移动校园应用</w:t>
      </w:r>
      <w:r>
        <w:rPr>
          <w:rFonts w:hint="eastAsia" w:ascii="宋体" w:hAnsi="宋体"/>
          <w:sz w:val="24"/>
          <w:szCs w:val="21"/>
        </w:rPr>
        <w:t>须基于现有平台进行开发，</w:t>
      </w:r>
      <w:r>
        <w:rPr>
          <w:rFonts w:hint="eastAsia" w:ascii="宋体" w:hAnsi="宋体"/>
          <w:sz w:val="24"/>
          <w:szCs w:val="21"/>
          <w:lang w:eastAsia="zh-Hans"/>
        </w:rPr>
        <w:t>办事大厅</w:t>
      </w:r>
      <w:r>
        <w:rPr>
          <w:rFonts w:hint="eastAsia" w:ascii="宋体" w:hAnsi="宋体"/>
          <w:sz w:val="24"/>
          <w:szCs w:val="21"/>
        </w:rPr>
        <w:t>必须与当前已经上线运行的所有流程实现完全兼容，当前的流程必须能够自动与新的技术路线匹配，不得做二次开发更新；如果因流程平台升级或重构导致原运行流程的兼容性不匹配，其改造或重新开发的工作量及成本均由投标人自行承担。升级后的</w:t>
      </w:r>
      <w:r>
        <w:rPr>
          <w:rFonts w:hint="eastAsia" w:ascii="宋体" w:hAnsi="宋体"/>
          <w:sz w:val="24"/>
          <w:szCs w:val="21"/>
          <w:lang w:eastAsia="zh-Hans"/>
        </w:rPr>
        <w:t>办事大厅及移动校园</w:t>
      </w:r>
      <w:r>
        <w:rPr>
          <w:rFonts w:hint="eastAsia" w:ascii="宋体" w:hAnsi="宋体"/>
          <w:sz w:val="24"/>
          <w:szCs w:val="21"/>
        </w:rPr>
        <w:t>在功能上应完全覆盖现有使用平台功能，功能性上只能新增、不能减少。并且能够无缝对接学校已有统一身份认证等平台，接口费自理。</w:t>
      </w:r>
      <w:r>
        <w:rPr>
          <w:rFonts w:hint="eastAsia" w:ascii="宋体" w:hAnsi="宋体"/>
          <w:b/>
          <w:bCs/>
          <w:sz w:val="24"/>
          <w:szCs w:val="21"/>
        </w:rPr>
        <w:t>（提供书面承诺函）</w:t>
      </w:r>
    </w:p>
    <w:p>
      <w:pPr>
        <w:jc w:val="left"/>
        <w:rPr>
          <w:lang w:eastAsia="zh-Hans"/>
        </w:rPr>
      </w:pPr>
      <w:bookmarkStart w:id="275" w:name="_Toc24747"/>
    </w:p>
    <w:p>
      <w:pPr>
        <w:keepNext/>
        <w:keepLines/>
        <w:numPr>
          <w:ilvl w:val="1"/>
          <w:numId w:val="10"/>
        </w:numPr>
        <w:adjustRightInd w:val="0"/>
        <w:snapToGrid w:val="0"/>
        <w:spacing w:line="360" w:lineRule="auto"/>
        <w:ind w:left="0" w:firstLine="200"/>
        <w:jc w:val="left"/>
        <w:outlineLvl w:val="1"/>
        <w:rPr>
          <w:rFonts w:ascii="宋体" w:hAnsi="Cambria"/>
          <w:b/>
          <w:bCs/>
          <w:sz w:val="24"/>
          <w:lang w:eastAsia="zh-Hans"/>
        </w:rPr>
      </w:pPr>
      <w:r>
        <w:rPr>
          <w:rFonts w:ascii="宋体" w:hAnsi="Cambria"/>
          <w:b/>
          <w:bCs/>
          <w:sz w:val="24"/>
          <w:lang w:eastAsia="zh-Hans"/>
        </w:rPr>
        <w:t>验收标准</w:t>
      </w:r>
    </w:p>
    <w:p>
      <w:pPr>
        <w:tabs>
          <w:tab w:val="left" w:pos="5580"/>
        </w:tabs>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本项目的验收标准指采购人正式接收成交供应商开发的软件。本项目采取供应商配合采购人组织验收的验收方式。供应商在完成本招标人规定的开发进度，并向采购人提交开发完成的相关项目资料，并向采购人提交验收申请。采购人收到验收申请之日起 10 日内，由采购人组织进行验收，采购人出具验收合格报告。</w:t>
      </w:r>
    </w:p>
    <w:bookmarkEnd w:id="275"/>
    <w:p>
      <w:pPr>
        <w:adjustRightInd w:val="0"/>
        <w:snapToGrid w:val="0"/>
        <w:rPr>
          <w:rFonts w:ascii="宋体" w:hAnsi="宋体"/>
          <w:sz w:val="24"/>
          <w:szCs w:val="21"/>
          <w:lang w:eastAsia="zh-Hans"/>
        </w:rPr>
      </w:pPr>
      <w:bookmarkStart w:id="276" w:name="_Toc10219"/>
    </w:p>
    <w:p>
      <w:pPr>
        <w:keepNext/>
        <w:keepLines/>
        <w:numPr>
          <w:ilvl w:val="1"/>
          <w:numId w:val="10"/>
        </w:numPr>
        <w:adjustRightInd w:val="0"/>
        <w:snapToGrid w:val="0"/>
        <w:spacing w:line="360" w:lineRule="auto"/>
        <w:ind w:left="0" w:firstLine="200"/>
        <w:jc w:val="left"/>
        <w:outlineLvl w:val="1"/>
        <w:rPr>
          <w:rFonts w:ascii="宋体" w:hAnsi="Cambria"/>
          <w:b/>
          <w:bCs/>
          <w:sz w:val="24"/>
          <w:lang w:eastAsia="zh-Hans"/>
        </w:rPr>
      </w:pPr>
      <w:r>
        <w:rPr>
          <w:rFonts w:ascii="宋体" w:hAnsi="Cambria"/>
          <w:b/>
          <w:bCs/>
          <w:sz w:val="24"/>
          <w:lang w:eastAsia="zh-Hans"/>
        </w:rPr>
        <w:t>知识产权要求</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1）</w:t>
      </w:r>
      <w:r>
        <w:rPr>
          <w:rFonts w:hint="eastAsia" w:ascii="宋体" w:hAnsi="宋体"/>
          <w:sz w:val="24"/>
          <w:szCs w:val="21"/>
          <w:lang w:eastAsia="zh-Hans"/>
        </w:rPr>
        <w:t>投标人应保证其交付的系统、设计方案和软件成果没有任何权利瑕疵，没有侵犯任何第三方权利。甲方在使用该系统或其任何一部分时不受第三方提出侵犯专利权、商标权或著作权等知识产权的指控。如果第三方提出侵权指控，乙方须承担与第三方交涉的责任，并承担与此相关的全部责任、费用和经济赔偿。</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2）</w:t>
      </w:r>
      <w:r>
        <w:rPr>
          <w:rFonts w:hint="eastAsia" w:ascii="宋体" w:hAnsi="宋体"/>
          <w:sz w:val="24"/>
          <w:szCs w:val="21"/>
          <w:lang w:eastAsia="zh-Hans"/>
        </w:rPr>
        <w:t>针对本项目定制开发部分的知识产权</w:t>
      </w:r>
      <w:r>
        <w:rPr>
          <w:rFonts w:ascii="宋体" w:hAnsi="宋体"/>
          <w:sz w:val="24"/>
          <w:szCs w:val="21"/>
          <w:lang w:eastAsia="zh-Hans"/>
        </w:rPr>
        <w:t>，</w:t>
      </w:r>
      <w:r>
        <w:rPr>
          <w:rFonts w:hint="eastAsia" w:ascii="宋体" w:hAnsi="宋体"/>
          <w:sz w:val="24"/>
          <w:szCs w:val="21"/>
          <w:lang w:eastAsia="zh-Hans"/>
        </w:rPr>
        <w:t>归采购人所有</w:t>
      </w:r>
      <w:r>
        <w:rPr>
          <w:rFonts w:ascii="宋体" w:hAnsi="宋体"/>
          <w:sz w:val="24"/>
          <w:szCs w:val="21"/>
          <w:lang w:eastAsia="zh-Hans"/>
        </w:rPr>
        <w:t>。</w:t>
      </w:r>
    </w:p>
    <w:p>
      <w:pPr>
        <w:adjustRightInd w:val="0"/>
        <w:snapToGrid w:val="0"/>
        <w:spacing w:line="360" w:lineRule="auto"/>
        <w:ind w:firstLine="480" w:firstLineChars="200"/>
        <w:rPr>
          <w:rFonts w:ascii="宋体" w:hAnsi="宋体"/>
          <w:sz w:val="24"/>
          <w:szCs w:val="21"/>
          <w:lang w:eastAsia="zh-Hans"/>
        </w:rPr>
      </w:pPr>
      <w:r>
        <w:rPr>
          <w:rFonts w:hint="eastAsia" w:ascii="宋体" w:hAnsi="宋体"/>
          <w:sz w:val="24"/>
          <w:szCs w:val="21"/>
          <w:lang w:eastAsia="zh-Hans"/>
        </w:rPr>
        <w:t>3）采购人利用投标人交付的技术服务工作成果所完成的新的技术成果，归采购人所有。</w:t>
      </w:r>
    </w:p>
    <w:p>
      <w:pPr>
        <w:pStyle w:val="2"/>
        <w:ind w:firstLine="480"/>
        <w:rPr>
          <w:rFonts w:ascii="宋体" w:hAnsi="宋体"/>
          <w:sz w:val="24"/>
          <w:szCs w:val="21"/>
          <w:lang w:eastAsia="zh-Hans"/>
        </w:rPr>
      </w:pPr>
    </w:p>
    <w:p>
      <w:pPr>
        <w:keepNext/>
        <w:keepLines/>
        <w:numPr>
          <w:ilvl w:val="1"/>
          <w:numId w:val="10"/>
        </w:numPr>
        <w:adjustRightInd w:val="0"/>
        <w:snapToGrid w:val="0"/>
        <w:spacing w:line="360" w:lineRule="auto"/>
        <w:ind w:left="0" w:firstLine="200"/>
        <w:jc w:val="left"/>
        <w:outlineLvl w:val="1"/>
        <w:rPr>
          <w:rFonts w:ascii="宋体" w:hAnsi="Cambria"/>
          <w:b/>
          <w:bCs/>
          <w:sz w:val="24"/>
          <w:lang w:eastAsia="zh-Hans"/>
        </w:rPr>
      </w:pPr>
      <w:r>
        <w:rPr>
          <w:rFonts w:ascii="宋体" w:hAnsi="Cambria"/>
          <w:b/>
          <w:bCs/>
          <w:sz w:val="24"/>
          <w:lang w:eastAsia="zh-Hans"/>
        </w:rPr>
        <w:t>保密要求</w:t>
      </w:r>
    </w:p>
    <w:p>
      <w:pPr>
        <w:adjustRightInd w:val="0"/>
        <w:snapToGrid w:val="0"/>
        <w:spacing w:line="360" w:lineRule="auto"/>
        <w:ind w:firstLine="480" w:firstLineChars="200"/>
        <w:rPr>
          <w:rFonts w:ascii="宋体" w:hAnsi="宋体"/>
          <w:sz w:val="24"/>
          <w:szCs w:val="21"/>
          <w:lang w:eastAsia="zh-Hans"/>
        </w:rPr>
      </w:pPr>
      <w:r>
        <w:rPr>
          <w:rFonts w:ascii="宋体" w:hAnsi="宋体"/>
          <w:sz w:val="24"/>
          <w:szCs w:val="21"/>
          <w:lang w:eastAsia="zh-Hans"/>
        </w:rPr>
        <w:t>乙方对甲方提供的资料负有保密义务，包括但不限于甲方提供的接口数据、文档及系统中的业务数据。</w:t>
      </w:r>
    </w:p>
    <w:p>
      <w:pPr>
        <w:pStyle w:val="4"/>
        <w:rPr>
          <w:rFonts w:hAnsi="宋体"/>
          <w:bCs/>
          <w:sz w:val="24"/>
        </w:rPr>
      </w:pPr>
      <w:r>
        <w:rPr>
          <w:rFonts w:hint="eastAsia"/>
          <w:lang w:eastAsia="zh-Hans"/>
        </w:rPr>
        <w:br w:type="page"/>
      </w:r>
      <w:bookmarkEnd w:id="262"/>
      <w:bookmarkEnd w:id="276"/>
      <w:bookmarkStart w:id="277" w:name="_Toc20778"/>
      <w:r>
        <w:rPr>
          <w:rFonts w:hint="eastAsia" w:hAnsi="宋体"/>
          <w:bCs/>
        </w:rPr>
        <w:t>第六章　拟签订的合同文本</w:t>
      </w:r>
      <w:bookmarkEnd w:id="277"/>
    </w:p>
    <w:p>
      <w:pPr>
        <w:pStyle w:val="5"/>
        <w:spacing w:line="22" w:lineRule="atLeast"/>
        <w:jc w:val="both"/>
        <w:rPr>
          <w:rFonts w:ascii="宋体" w:hAnsi="宋体" w:eastAsia="宋体"/>
          <w:sz w:val="24"/>
        </w:rPr>
      </w:pPr>
      <w:bookmarkStart w:id="278" w:name="_Hlt487972895"/>
      <w:bookmarkEnd w:id="278"/>
      <w:bookmarkStart w:id="279" w:name="_Toc3614"/>
      <w:bookmarkStart w:id="280" w:name="_Toc487900382"/>
      <w:r>
        <w:rPr>
          <w:rFonts w:hint="eastAsia" w:ascii="宋体" w:hAnsi="宋体" w:eastAsia="宋体"/>
          <w:sz w:val="24"/>
        </w:rPr>
        <w:t>注：合同内容以实际签订为准，本合同条款内容若和招标文件第五章“采购需求”中相关规定不一致，以第五章“采购需求”中的相关规定为准。</w:t>
      </w:r>
      <w:bookmarkEnd w:id="279"/>
    </w:p>
    <w:p>
      <w:pPr>
        <w:jc w:val="left"/>
        <w:rPr>
          <w:rFonts w:ascii="黑体" w:hAnsi="黑体" w:eastAsia="黑体" w:cs="黑体"/>
          <w:sz w:val="28"/>
          <w:szCs w:val="28"/>
        </w:rPr>
      </w:pPr>
      <w:r>
        <w:rPr>
          <w:rFonts w:hint="eastAsia" w:ascii="黑体" w:hAnsi="黑体" w:eastAsia="黑体" w:cs="黑体"/>
          <w:sz w:val="28"/>
          <w:szCs w:val="28"/>
        </w:rPr>
        <w:t>合同编号：</w:t>
      </w:r>
    </w:p>
    <w:p>
      <w:pPr>
        <w:jc w:val="center"/>
        <w:rPr>
          <w:b/>
          <w:sz w:val="30"/>
        </w:rPr>
      </w:pPr>
    </w:p>
    <w:p>
      <w:pPr>
        <w:jc w:val="center"/>
        <w:rPr>
          <w:b/>
          <w:sz w:val="44"/>
        </w:rPr>
      </w:pPr>
    </w:p>
    <w:p>
      <w:pPr>
        <w:jc w:val="center"/>
        <w:rPr>
          <w:b/>
          <w:sz w:val="44"/>
          <w:szCs w:val="44"/>
        </w:rPr>
      </w:pPr>
      <w:r>
        <w:rPr>
          <w:rFonts w:hint="eastAsia" w:ascii="黑体" w:hAnsi="黑体" w:eastAsia="黑体" w:cs="黑体"/>
          <w:b/>
          <w:sz w:val="44"/>
          <w:szCs w:val="44"/>
        </w:rPr>
        <w:t>技 术 开 发 合 同 书</w:t>
      </w:r>
    </w:p>
    <w:p>
      <w:pPr>
        <w:jc w:val="center"/>
        <w:outlineLvl w:val="0"/>
        <w:rPr>
          <w:rFonts w:ascii="黑体" w:hAnsi="黑体" w:eastAsia="黑体" w:cs="黑体"/>
          <w:sz w:val="30"/>
        </w:rPr>
      </w:pPr>
      <w:r>
        <w:rPr>
          <w:rFonts w:hint="eastAsia" w:ascii="黑体" w:hAnsi="黑体" w:eastAsia="黑体" w:cs="黑体"/>
          <w:sz w:val="30"/>
        </w:rPr>
        <w:t>（委托开发、合作开发）</w:t>
      </w:r>
    </w:p>
    <w:p>
      <w:pPr>
        <w:jc w:val="center"/>
        <w:outlineLvl w:val="0"/>
        <w:rPr>
          <w:rFonts w:ascii="黑体" w:hAnsi="黑体" w:eastAsia="黑体" w:cs="黑体"/>
          <w:sz w:val="30"/>
          <w:szCs w:val="22"/>
        </w:rPr>
      </w:pPr>
      <w:r>
        <w:rPr>
          <w:rFonts w:hint="eastAsia" w:ascii="黑体" w:hAnsi="黑体" w:eastAsia="黑体" w:cs="黑体"/>
          <w:sz w:val="30"/>
        </w:rPr>
        <w:t>采购编号：</w:t>
      </w:r>
    </w:p>
    <w:p>
      <w:pPr>
        <w:pStyle w:val="156"/>
        <w:rPr>
          <w:rFonts w:hAnsi="宋体" w:cs="宋体"/>
          <w:sz w:val="30"/>
          <w:szCs w:val="30"/>
        </w:rPr>
      </w:pPr>
    </w:p>
    <w:p/>
    <w:p>
      <w:pPr>
        <w:pStyle w:val="156"/>
      </w:pPr>
    </w:p>
    <w:p>
      <w:pPr>
        <w:ind w:firstLine="1800" w:firstLineChars="600"/>
        <w:jc w:val="left"/>
        <w:rPr>
          <w:rFonts w:ascii="黑体" w:hAnsi="黑体" w:eastAsia="黑体" w:cs="黑体"/>
          <w:sz w:val="30"/>
          <w:szCs w:val="30"/>
          <w:u w:val="single"/>
        </w:rPr>
      </w:pPr>
      <w:r>
        <w:rPr>
          <w:rFonts w:hint="eastAsia" w:ascii="黑体" w:hAnsi="黑体" w:eastAsia="黑体" w:cs="黑体"/>
          <w:sz w:val="30"/>
          <w:szCs w:val="30"/>
        </w:rPr>
        <w:t>项   目   名   称：</w:t>
      </w:r>
      <w:r>
        <w:rPr>
          <w:rFonts w:hint="eastAsia" w:ascii="黑体" w:hAnsi="黑体" w:eastAsia="黑体" w:cs="黑体"/>
          <w:sz w:val="30"/>
          <w:szCs w:val="30"/>
          <w:u w:val="single"/>
        </w:rPr>
        <w:t xml:space="preserve">                         </w:t>
      </w:r>
    </w:p>
    <w:p>
      <w:pPr>
        <w:spacing w:line="240" w:lineRule="atLeast"/>
        <w:jc w:val="left"/>
        <w:rPr>
          <w:rFonts w:ascii="黑体" w:hAnsi="黑体" w:eastAsia="黑体" w:cs="黑体"/>
          <w:sz w:val="30"/>
          <w:szCs w:val="30"/>
        </w:rPr>
      </w:pPr>
    </w:p>
    <w:p>
      <w:pPr>
        <w:spacing w:line="240" w:lineRule="atLeast"/>
        <w:ind w:firstLine="1800" w:firstLineChars="600"/>
        <w:jc w:val="left"/>
        <w:rPr>
          <w:rFonts w:ascii="黑体" w:hAnsi="黑体" w:eastAsia="黑体" w:cs="黑体"/>
          <w:sz w:val="30"/>
          <w:szCs w:val="30"/>
          <w:u w:val="single"/>
        </w:rPr>
      </w:pPr>
      <w:r>
        <w:rPr>
          <w:rFonts w:hint="eastAsia" w:ascii="黑体" w:hAnsi="黑体" w:eastAsia="黑体" w:cs="黑体"/>
          <w:sz w:val="30"/>
          <w:szCs w:val="30"/>
        </w:rPr>
        <w:t>委 托 方（甲 方）：</w:t>
      </w:r>
      <w:r>
        <w:rPr>
          <w:rFonts w:hint="eastAsia" w:ascii="黑体" w:hAnsi="黑体" w:eastAsia="黑体" w:cs="黑体"/>
          <w:sz w:val="30"/>
          <w:szCs w:val="30"/>
          <w:u w:val="single"/>
        </w:rPr>
        <w:t xml:space="preserve">                      </w:t>
      </w:r>
    </w:p>
    <w:p>
      <w:pPr>
        <w:spacing w:line="240" w:lineRule="atLeast"/>
        <w:ind w:firstLine="600"/>
        <w:jc w:val="left"/>
        <w:rPr>
          <w:rFonts w:ascii="黑体" w:hAnsi="黑体" w:eastAsia="黑体" w:cs="黑体"/>
          <w:sz w:val="30"/>
          <w:szCs w:val="30"/>
        </w:rPr>
      </w:pPr>
    </w:p>
    <w:p>
      <w:pPr>
        <w:ind w:firstLine="1800" w:firstLineChars="600"/>
        <w:jc w:val="left"/>
        <w:rPr>
          <w:rFonts w:ascii="黑体" w:hAnsi="黑体" w:eastAsia="黑体" w:cs="黑体"/>
          <w:sz w:val="30"/>
          <w:szCs w:val="30"/>
          <w:u w:val="single"/>
        </w:rPr>
      </w:pPr>
      <w:r>
        <w:rPr>
          <w:rFonts w:hint="eastAsia" w:ascii="黑体" w:hAnsi="黑体" w:eastAsia="黑体" w:cs="黑体"/>
          <w:sz w:val="30"/>
          <w:szCs w:val="30"/>
        </w:rPr>
        <w:t>受 托 方（乙 方）：</w:t>
      </w:r>
      <w:r>
        <w:rPr>
          <w:rFonts w:hint="eastAsia" w:ascii="黑体" w:hAnsi="黑体" w:eastAsia="黑体" w:cs="黑体"/>
          <w:sz w:val="30"/>
          <w:szCs w:val="30"/>
          <w:u w:val="single"/>
        </w:rPr>
        <w:t xml:space="preserve">                      </w:t>
      </w:r>
    </w:p>
    <w:p>
      <w:pPr>
        <w:rPr>
          <w:sz w:val="30"/>
        </w:rPr>
      </w:pPr>
    </w:p>
    <w:p>
      <w:pPr>
        <w:pStyle w:val="156"/>
      </w:pPr>
    </w:p>
    <w:p>
      <w:pPr>
        <w:rPr>
          <w:sz w:val="30"/>
          <w:u w:val="single"/>
        </w:rPr>
      </w:pPr>
    </w:p>
    <w:p>
      <w:pPr>
        <w:spacing w:line="360" w:lineRule="auto"/>
        <w:ind w:firstLine="1800" w:firstLineChars="600"/>
        <w:rPr>
          <w:rFonts w:ascii="黑体" w:hAnsi="黑体" w:eastAsia="黑体" w:cs="黑体"/>
          <w:sz w:val="30"/>
        </w:rPr>
      </w:pPr>
      <w:r>
        <w:rPr>
          <w:rFonts w:hint="eastAsia" w:ascii="黑体" w:hAnsi="黑体" w:eastAsia="黑体" w:cs="黑体"/>
          <w:sz w:val="30"/>
        </w:rPr>
        <w:t>签订地点：·</w:t>
      </w:r>
    </w:p>
    <w:p>
      <w:pPr>
        <w:spacing w:line="360" w:lineRule="auto"/>
        <w:ind w:firstLine="1800" w:firstLineChars="600"/>
        <w:rPr>
          <w:rFonts w:ascii="黑体" w:hAnsi="黑体" w:eastAsia="黑体" w:cs="黑体"/>
          <w:sz w:val="30"/>
          <w:szCs w:val="22"/>
        </w:rPr>
      </w:pPr>
      <w:r>
        <w:rPr>
          <w:rFonts w:hint="eastAsia" w:ascii="黑体" w:hAnsi="黑体" w:eastAsia="黑体" w:cs="黑体"/>
          <w:sz w:val="30"/>
          <w:szCs w:val="22"/>
        </w:rPr>
        <w:t>签订日期： 年  月   日</w:t>
      </w:r>
    </w:p>
    <w:p>
      <w:pPr>
        <w:spacing w:line="360" w:lineRule="auto"/>
        <w:ind w:firstLine="1800" w:firstLineChars="600"/>
        <w:rPr>
          <w:rFonts w:ascii="黑体" w:hAnsi="黑体" w:eastAsia="黑体" w:cs="黑体"/>
          <w:sz w:val="30"/>
          <w:szCs w:val="22"/>
        </w:rPr>
      </w:pPr>
      <w:r>
        <w:rPr>
          <w:rFonts w:hint="eastAsia" w:ascii="黑体" w:hAnsi="黑体" w:eastAsia="黑体" w:cs="黑体"/>
          <w:sz w:val="30"/>
          <w:szCs w:val="22"/>
        </w:rPr>
        <w:t>有效期限： 年  月   日  至   年   月   日</w:t>
      </w:r>
    </w:p>
    <w:p>
      <w:pPr>
        <w:rPr>
          <w:sz w:val="30"/>
        </w:rPr>
      </w:pPr>
    </w:p>
    <w:p>
      <w:pPr>
        <w:spacing w:line="360" w:lineRule="auto"/>
        <w:ind w:firstLine="562" w:firstLineChars="200"/>
        <w:rPr>
          <w:rFonts w:ascii="宋体" w:hAnsi="宋体" w:cs="宋体"/>
          <w:b/>
          <w:sz w:val="28"/>
          <w:szCs w:val="28"/>
        </w:rPr>
      </w:pPr>
      <w:r>
        <w:rPr>
          <w:rFonts w:hint="eastAsia" w:ascii="宋体" w:hAnsi="宋体" w:cs="宋体"/>
          <w:b/>
          <w:sz w:val="28"/>
          <w:szCs w:val="28"/>
        </w:rPr>
        <w:t>一、产品名称</w:t>
      </w:r>
    </w:p>
    <w:p>
      <w:pPr>
        <w:spacing w:line="360" w:lineRule="auto"/>
        <w:ind w:firstLine="560" w:firstLineChars="200"/>
        <w:rPr>
          <w:rFonts w:ascii="宋体" w:hAnsi="宋体" w:cs="宋体"/>
          <w:sz w:val="28"/>
          <w:szCs w:val="28"/>
        </w:rPr>
      </w:pPr>
      <w:r>
        <w:rPr>
          <w:rFonts w:hint="eastAsia" w:ascii="宋体" w:hAnsi="宋体" w:cs="宋体"/>
          <w:sz w:val="28"/>
          <w:szCs w:val="28"/>
        </w:rPr>
        <w:t>《》</w:t>
      </w:r>
    </w:p>
    <w:p>
      <w:pPr>
        <w:spacing w:line="360" w:lineRule="auto"/>
        <w:ind w:firstLine="562" w:firstLineChars="200"/>
        <w:rPr>
          <w:rFonts w:ascii="宋体" w:hAnsi="宋体" w:cs="宋体"/>
          <w:b/>
          <w:sz w:val="28"/>
          <w:szCs w:val="28"/>
        </w:rPr>
      </w:pPr>
      <w:r>
        <w:rPr>
          <w:rFonts w:hint="eastAsia" w:ascii="宋体" w:hAnsi="宋体" w:cs="宋体"/>
          <w:b/>
          <w:sz w:val="28"/>
          <w:szCs w:val="28"/>
        </w:rPr>
        <w:t>二、项目标的的技术内容、方法、路线和要求</w:t>
      </w:r>
    </w:p>
    <w:p>
      <w:pPr>
        <w:spacing w:line="360" w:lineRule="auto"/>
        <w:ind w:firstLine="560" w:firstLineChars="200"/>
        <w:rPr>
          <w:rFonts w:ascii="宋体" w:hAnsi="宋体" w:cs="宋体"/>
          <w:sz w:val="28"/>
          <w:szCs w:val="28"/>
        </w:rPr>
      </w:pPr>
      <w:r>
        <w:rPr>
          <w:rFonts w:hint="eastAsia" w:ascii="宋体" w:hAnsi="宋体" w:cs="宋体"/>
          <w:sz w:val="28"/>
          <w:szCs w:val="28"/>
        </w:rPr>
        <w:t>（一）开发内容</w:t>
      </w:r>
    </w:p>
    <w:p>
      <w:pPr>
        <w:spacing w:line="360" w:lineRule="auto"/>
        <w:ind w:firstLine="560" w:firstLineChars="200"/>
        <w:rPr>
          <w:rFonts w:ascii="宋体" w:hAnsi="宋体" w:cs="宋体"/>
          <w:sz w:val="28"/>
          <w:szCs w:val="28"/>
        </w:rPr>
      </w:pPr>
      <w:r>
        <w:rPr>
          <w:rFonts w:hint="eastAsia" w:ascii="宋体" w:hAnsi="宋体" w:cs="宋体"/>
          <w:sz w:val="28"/>
          <w:szCs w:val="28"/>
        </w:rPr>
        <w:t>1.甲方委托乙方，根据甲方管理功能需求对</w:t>
      </w:r>
      <w:r>
        <w:rPr>
          <w:rFonts w:hint="eastAsia" w:ascii="宋体" w:hAnsi="宋体" w:cs="宋体"/>
          <w:sz w:val="28"/>
          <w:szCs w:val="28"/>
          <w:u w:val="single"/>
        </w:rPr>
        <w:t xml:space="preserve">          </w:t>
      </w:r>
      <w:r>
        <w:rPr>
          <w:rFonts w:hint="eastAsia" w:ascii="宋体" w:hAnsi="宋体" w:cs="宋体"/>
          <w:sz w:val="28"/>
          <w:szCs w:val="28"/>
        </w:rPr>
        <w:t>进行技术开发工作。乙方针对甲方的具体需求，对系统项目进行开发。</w:t>
      </w:r>
    </w:p>
    <w:p>
      <w:pPr>
        <w:spacing w:line="360" w:lineRule="auto"/>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.具体开发功能，详见合同附件。</w:t>
      </w:r>
    </w:p>
    <w:p>
      <w:pPr>
        <w:spacing w:line="360" w:lineRule="auto"/>
        <w:ind w:firstLine="560" w:firstLineChars="200"/>
        <w:rPr>
          <w:rFonts w:ascii="宋体" w:hAnsi="宋体" w:cs="宋体"/>
          <w:sz w:val="28"/>
          <w:szCs w:val="28"/>
        </w:rPr>
      </w:pPr>
      <w:r>
        <w:rPr>
          <w:rFonts w:hint="eastAsia" w:ascii="宋体" w:hAnsi="宋体" w:cs="宋体"/>
          <w:sz w:val="28"/>
          <w:szCs w:val="28"/>
        </w:rPr>
        <w:t>（二）系统维护、技术支持</w:t>
      </w:r>
    </w:p>
    <w:p>
      <w:pPr>
        <w:spacing w:line="360" w:lineRule="auto"/>
        <w:ind w:firstLine="560" w:firstLineChars="200"/>
        <w:rPr>
          <w:rFonts w:ascii="宋体" w:hAnsi="宋体" w:cs="宋体"/>
          <w:sz w:val="28"/>
          <w:szCs w:val="28"/>
        </w:rPr>
      </w:pPr>
      <w:r>
        <w:rPr>
          <w:rFonts w:hint="eastAsia" w:ascii="宋体" w:hAnsi="宋体" w:cs="宋体"/>
          <w:sz w:val="28"/>
          <w:szCs w:val="28"/>
        </w:rPr>
        <w:t>1.维护期限：系统验收合格之日起，三年内免费日常运行维护，三年后服务费为合同总金额的</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2.维护做法：分为常规维护和紧急维护；</w:t>
      </w:r>
    </w:p>
    <w:p>
      <w:pPr>
        <w:spacing w:line="360" w:lineRule="auto"/>
        <w:ind w:firstLine="560" w:firstLineChars="200"/>
        <w:rPr>
          <w:rFonts w:ascii="宋体" w:hAnsi="宋体" w:cs="宋体"/>
          <w:sz w:val="28"/>
          <w:szCs w:val="28"/>
        </w:rPr>
      </w:pPr>
      <w:r>
        <w:rPr>
          <w:rFonts w:hint="eastAsia" w:ascii="宋体" w:hAnsi="宋体" w:cs="宋体"/>
          <w:sz w:val="28"/>
          <w:szCs w:val="28"/>
        </w:rPr>
        <w:t>（1）常规维护：一般故障或系统运行维护处理；</w:t>
      </w:r>
    </w:p>
    <w:p>
      <w:pPr>
        <w:spacing w:line="360" w:lineRule="auto"/>
        <w:ind w:firstLine="560" w:firstLineChars="200"/>
        <w:rPr>
          <w:rFonts w:ascii="宋体" w:hAnsi="宋体" w:cs="宋体"/>
          <w:sz w:val="28"/>
          <w:szCs w:val="28"/>
        </w:rPr>
      </w:pPr>
      <w:r>
        <w:rPr>
          <w:rFonts w:hint="eastAsia" w:ascii="宋体" w:hAnsi="宋体" w:cs="宋体"/>
          <w:sz w:val="28"/>
          <w:szCs w:val="28"/>
        </w:rPr>
        <w:t>（2）紧急维护：即发生重大故障以后采取的紧急故障响应维护；</w:t>
      </w:r>
    </w:p>
    <w:p>
      <w:pPr>
        <w:spacing w:line="360" w:lineRule="auto"/>
        <w:ind w:firstLine="560" w:firstLineChars="200"/>
        <w:rPr>
          <w:rFonts w:ascii="宋体" w:hAnsi="宋体" w:cs="宋体"/>
          <w:sz w:val="28"/>
          <w:szCs w:val="28"/>
        </w:rPr>
      </w:pPr>
      <w:r>
        <w:rPr>
          <w:rFonts w:hint="eastAsia" w:ascii="宋体" w:hAnsi="宋体" w:cs="宋体"/>
          <w:sz w:val="28"/>
          <w:szCs w:val="28"/>
        </w:rPr>
        <w:t>（3）维护方式：包括网络远程维护、E-mail、Fax，办公电话技术服务和支持等多种方式；</w:t>
      </w:r>
    </w:p>
    <w:p>
      <w:pPr>
        <w:spacing w:line="360" w:lineRule="auto"/>
        <w:ind w:firstLine="560" w:firstLineChars="200"/>
        <w:rPr>
          <w:rFonts w:ascii="宋体" w:hAnsi="宋体" w:cs="宋体"/>
          <w:sz w:val="28"/>
          <w:szCs w:val="28"/>
        </w:rPr>
      </w:pPr>
      <w:r>
        <w:rPr>
          <w:rFonts w:hint="eastAsia" w:ascii="宋体" w:hAnsi="宋体" w:cs="宋体"/>
          <w:sz w:val="28"/>
          <w:szCs w:val="28"/>
        </w:rPr>
        <w:t>3.维护内容</w:t>
      </w:r>
    </w:p>
    <w:p>
      <w:pPr>
        <w:spacing w:line="360" w:lineRule="auto"/>
        <w:ind w:firstLine="560" w:firstLineChars="200"/>
        <w:rPr>
          <w:rFonts w:ascii="宋体" w:hAnsi="宋体" w:cs="宋体"/>
          <w:sz w:val="28"/>
          <w:szCs w:val="28"/>
        </w:rPr>
      </w:pPr>
      <w:r>
        <w:rPr>
          <w:rFonts w:hint="eastAsia" w:ascii="宋体" w:hAnsi="宋体" w:cs="宋体"/>
          <w:sz w:val="28"/>
          <w:szCs w:val="28"/>
        </w:rPr>
        <w:t>（1）在本合同中约定的由乙方提供的产品以及系统集成和实施的内容，</w:t>
      </w:r>
    </w:p>
    <w:p>
      <w:pPr>
        <w:spacing w:line="360" w:lineRule="auto"/>
        <w:ind w:firstLine="560" w:firstLineChars="200"/>
        <w:rPr>
          <w:rFonts w:ascii="宋体" w:hAnsi="宋体" w:cs="宋体"/>
          <w:sz w:val="28"/>
          <w:szCs w:val="28"/>
        </w:rPr>
      </w:pPr>
      <w:r>
        <w:rPr>
          <w:rFonts w:hint="eastAsia" w:ascii="宋体" w:hAnsi="宋体" w:cs="宋体"/>
          <w:sz w:val="28"/>
          <w:szCs w:val="28"/>
        </w:rPr>
        <w:t>（2）非合同中约定的内容的质量问题或由于用户人为损坏、自然灾害以及其他人力不可抗拒因素造成的系统故障，将酌情另行收取维护费用。</w:t>
      </w:r>
    </w:p>
    <w:p>
      <w:pPr>
        <w:spacing w:line="360" w:lineRule="auto"/>
        <w:ind w:firstLine="560" w:firstLineChars="200"/>
        <w:rPr>
          <w:rFonts w:ascii="宋体" w:hAnsi="宋体" w:cs="宋体"/>
          <w:sz w:val="28"/>
          <w:szCs w:val="28"/>
        </w:rPr>
      </w:pPr>
      <w:r>
        <w:rPr>
          <w:rFonts w:hint="eastAsia" w:ascii="宋体" w:hAnsi="宋体" w:cs="宋体"/>
          <w:sz w:val="28"/>
          <w:szCs w:val="28"/>
        </w:rPr>
        <w:t>4.维护响应时间</w:t>
      </w:r>
    </w:p>
    <w:p>
      <w:pPr>
        <w:spacing w:line="360" w:lineRule="auto"/>
        <w:ind w:firstLine="560" w:firstLineChars="200"/>
        <w:rPr>
          <w:rFonts w:ascii="宋体" w:hAnsi="宋体" w:cs="宋体"/>
          <w:sz w:val="28"/>
          <w:szCs w:val="28"/>
        </w:rPr>
      </w:pPr>
      <w:r>
        <w:rPr>
          <w:rFonts w:hint="eastAsia" w:ascii="宋体" w:hAnsi="宋体" w:cs="宋体"/>
          <w:sz w:val="28"/>
          <w:szCs w:val="28"/>
        </w:rPr>
        <w:t>（1）紧急维护的响应时间为2小时。</w:t>
      </w:r>
    </w:p>
    <w:p>
      <w:pPr>
        <w:spacing w:line="360" w:lineRule="auto"/>
        <w:ind w:firstLine="560" w:firstLineChars="200"/>
        <w:rPr>
          <w:rFonts w:ascii="宋体" w:hAnsi="宋体" w:cs="宋体"/>
          <w:sz w:val="28"/>
          <w:szCs w:val="28"/>
        </w:rPr>
      </w:pPr>
      <w:r>
        <w:rPr>
          <w:rFonts w:hint="eastAsia" w:ascii="宋体" w:hAnsi="宋体" w:cs="宋体"/>
          <w:sz w:val="28"/>
          <w:szCs w:val="28"/>
        </w:rPr>
        <w:t>（2）常规维护的响应时间为4小时。</w:t>
      </w:r>
    </w:p>
    <w:p>
      <w:pPr>
        <w:spacing w:line="360" w:lineRule="auto"/>
        <w:ind w:firstLine="560" w:firstLineChars="200"/>
        <w:rPr>
          <w:rFonts w:ascii="宋体" w:hAnsi="宋体" w:cs="宋体"/>
          <w:sz w:val="28"/>
          <w:szCs w:val="28"/>
        </w:rPr>
      </w:pPr>
      <w:r>
        <w:rPr>
          <w:rFonts w:hint="eastAsia" w:ascii="宋体" w:hAnsi="宋体" w:cs="宋体"/>
          <w:sz w:val="28"/>
          <w:szCs w:val="28"/>
        </w:rPr>
        <w:t>5.联系方式</w:t>
      </w:r>
    </w:p>
    <w:p>
      <w:pPr>
        <w:spacing w:line="360" w:lineRule="auto"/>
        <w:ind w:firstLine="560" w:firstLineChars="200"/>
        <w:rPr>
          <w:rFonts w:ascii="宋体" w:hAnsi="宋体" w:cs="宋体"/>
          <w:sz w:val="28"/>
          <w:szCs w:val="28"/>
        </w:rPr>
        <w:sectPr>
          <w:headerReference r:id="rId5" w:type="default"/>
          <w:footerReference r:id="rId6" w:type="even"/>
          <w:type w:val="nextColumn"/>
          <w:pgSz w:w="11906" w:h="16838"/>
          <w:pgMar w:top="1440" w:right="1080" w:bottom="1440" w:left="1080" w:header="851" w:footer="992" w:gutter="0"/>
          <w:cols w:space="720" w:num="1"/>
          <w:docGrid w:type="lines" w:linePitch="312" w:charSpace="0"/>
        </w:sectPr>
      </w:pPr>
    </w:p>
    <w:p>
      <w:pPr>
        <w:spacing w:line="360" w:lineRule="auto"/>
        <w:ind w:firstLine="560" w:firstLineChars="200"/>
        <w:rPr>
          <w:rFonts w:ascii="宋体" w:hAnsi="宋体" w:cs="宋体"/>
          <w:sz w:val="28"/>
          <w:szCs w:val="28"/>
        </w:rPr>
      </w:pPr>
      <w:r>
        <w:rPr>
          <w:rFonts w:hint="eastAsia" w:ascii="宋体" w:hAnsi="宋体" w:cs="宋体"/>
          <w:sz w:val="28"/>
          <w:szCs w:val="28"/>
        </w:rPr>
        <w:t>甲方：</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电话：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联系人：  </w:t>
      </w:r>
    </w:p>
    <w:p>
      <w:pPr>
        <w:spacing w:line="360" w:lineRule="auto"/>
        <w:ind w:firstLine="560" w:firstLineChars="200"/>
        <w:rPr>
          <w:rFonts w:ascii="宋体" w:hAnsi="宋体" w:cs="宋体"/>
          <w:sz w:val="28"/>
          <w:szCs w:val="28"/>
        </w:rPr>
      </w:pPr>
      <w:r>
        <w:rPr>
          <w:rFonts w:hint="eastAsia" w:ascii="宋体" w:hAnsi="宋体" w:cs="宋体"/>
          <w:sz w:val="28"/>
          <w:szCs w:val="28"/>
        </w:rPr>
        <w:t>乙方：</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电话：   </w:t>
      </w:r>
    </w:p>
    <w:p>
      <w:pPr>
        <w:spacing w:line="360" w:lineRule="auto"/>
        <w:ind w:firstLine="560" w:firstLineChars="200"/>
        <w:rPr>
          <w:rFonts w:ascii="宋体" w:hAnsi="宋体" w:cs="宋体"/>
          <w:sz w:val="28"/>
          <w:szCs w:val="28"/>
        </w:rPr>
      </w:pPr>
      <w:r>
        <w:rPr>
          <w:rFonts w:hint="eastAsia" w:ascii="宋体" w:hAnsi="宋体" w:cs="宋体"/>
          <w:sz w:val="28"/>
          <w:szCs w:val="28"/>
        </w:rPr>
        <w:t>联系人：</w:t>
      </w:r>
    </w:p>
    <w:p>
      <w:pPr>
        <w:spacing w:line="360" w:lineRule="auto"/>
        <w:ind w:firstLine="562" w:firstLineChars="200"/>
        <w:rPr>
          <w:rFonts w:ascii="宋体" w:hAnsi="宋体" w:cs="宋体"/>
          <w:b/>
          <w:sz w:val="28"/>
          <w:szCs w:val="28"/>
        </w:rPr>
        <w:sectPr>
          <w:type w:val="continuous"/>
          <w:pgSz w:w="11906" w:h="16838"/>
          <w:pgMar w:top="1440" w:right="1080" w:bottom="1440" w:left="1080" w:header="851" w:footer="992" w:gutter="0"/>
          <w:cols w:equalWidth="0" w:num="2">
            <w:col w:w="4660" w:space="425"/>
            <w:col w:w="4660"/>
          </w:cols>
          <w:docGrid w:type="lines" w:linePitch="312" w:charSpace="0"/>
        </w:sectPr>
      </w:pPr>
    </w:p>
    <w:p>
      <w:pPr>
        <w:spacing w:line="360" w:lineRule="auto"/>
        <w:ind w:firstLine="562" w:firstLineChars="200"/>
        <w:rPr>
          <w:rFonts w:ascii="宋体" w:hAnsi="宋体" w:cs="宋体"/>
          <w:b/>
          <w:sz w:val="28"/>
          <w:szCs w:val="28"/>
        </w:rPr>
      </w:pPr>
      <w:r>
        <w:rPr>
          <w:rFonts w:hint="eastAsia" w:ascii="宋体" w:hAnsi="宋体" w:cs="宋体"/>
          <w:b/>
          <w:sz w:val="28"/>
          <w:szCs w:val="28"/>
        </w:rPr>
        <w:t>三、履行的计划、进度、期限、地点和方式</w:t>
      </w:r>
    </w:p>
    <w:p>
      <w:pPr>
        <w:spacing w:line="360" w:lineRule="auto"/>
        <w:ind w:firstLine="560" w:firstLineChars="200"/>
        <w:rPr>
          <w:rFonts w:ascii="宋体" w:hAnsi="宋体" w:cs="宋体"/>
          <w:sz w:val="28"/>
          <w:szCs w:val="28"/>
        </w:rPr>
      </w:pPr>
      <w:r>
        <w:rPr>
          <w:rFonts w:hint="eastAsia" w:ascii="宋体" w:hAnsi="宋体" w:cs="宋体"/>
          <w:sz w:val="28"/>
          <w:szCs w:val="28"/>
        </w:rPr>
        <w:t>乙方应于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日启动该项目的工作，于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日“管理系统”正式上线，于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日实现该项目的整体运行。</w:t>
      </w:r>
    </w:p>
    <w:p>
      <w:pPr>
        <w:spacing w:line="360" w:lineRule="auto"/>
        <w:ind w:firstLine="562" w:firstLineChars="200"/>
        <w:rPr>
          <w:rFonts w:ascii="宋体" w:hAnsi="宋体" w:cs="宋体"/>
          <w:b/>
          <w:sz w:val="28"/>
          <w:szCs w:val="28"/>
        </w:rPr>
      </w:pPr>
      <w:r>
        <w:rPr>
          <w:rFonts w:hint="eastAsia" w:ascii="宋体" w:hAnsi="宋体" w:cs="宋体"/>
          <w:b/>
          <w:sz w:val="28"/>
          <w:szCs w:val="28"/>
        </w:rPr>
        <w:t>四、研究开发经费、报酬及其支付方式</w:t>
      </w:r>
    </w:p>
    <w:p>
      <w:pPr>
        <w:spacing w:line="360" w:lineRule="auto"/>
        <w:ind w:firstLine="560" w:firstLineChars="200"/>
        <w:rPr>
          <w:rFonts w:ascii="宋体" w:hAnsi="宋体" w:cs="宋体"/>
          <w:sz w:val="28"/>
          <w:szCs w:val="28"/>
        </w:rPr>
      </w:pPr>
      <w:r>
        <w:rPr>
          <w:rFonts w:hint="eastAsia" w:ascii="宋体" w:hAnsi="宋体" w:cs="宋体"/>
          <w:sz w:val="28"/>
          <w:szCs w:val="28"/>
        </w:rPr>
        <w:t>（一）合同总价</w:t>
      </w:r>
    </w:p>
    <w:p>
      <w:pPr>
        <w:spacing w:line="360" w:lineRule="auto"/>
        <w:ind w:firstLine="560" w:firstLineChars="200"/>
        <w:rPr>
          <w:rFonts w:ascii="宋体" w:hAnsi="宋体" w:cs="宋体"/>
          <w:sz w:val="28"/>
          <w:szCs w:val="28"/>
        </w:rPr>
      </w:pPr>
      <w:r>
        <w:rPr>
          <w:rFonts w:hint="eastAsia" w:ascii="宋体" w:hAnsi="宋体" w:cs="宋体"/>
          <w:sz w:val="28"/>
          <w:szCs w:val="28"/>
        </w:rPr>
        <w:t>经过甲乙双方的确认，“        ”合同总价款为人民币（大写）：</w:t>
      </w:r>
      <w:r>
        <w:rPr>
          <w:rFonts w:hint="eastAsia" w:ascii="宋体" w:hAnsi="宋体" w:cs="宋体"/>
          <w:sz w:val="28"/>
          <w:szCs w:val="28"/>
          <w:u w:val="single"/>
        </w:rPr>
        <w:t xml:space="preserve">       </w:t>
      </w:r>
      <w:r>
        <w:rPr>
          <w:rFonts w:hint="eastAsia" w:ascii="宋体" w:hAnsi="宋体" w:cs="宋体"/>
          <w:sz w:val="28"/>
          <w:szCs w:val="28"/>
        </w:rPr>
        <w:t>整。</w:t>
      </w:r>
    </w:p>
    <w:p>
      <w:pPr>
        <w:numPr>
          <w:ilvl w:val="0"/>
          <w:numId w:val="13"/>
        </w:numPr>
        <w:spacing w:line="360" w:lineRule="auto"/>
        <w:ind w:firstLine="560" w:firstLineChars="200"/>
        <w:rPr>
          <w:rFonts w:ascii="宋体" w:hAnsi="宋体" w:cs="宋体"/>
          <w:sz w:val="28"/>
          <w:szCs w:val="28"/>
        </w:rPr>
      </w:pPr>
      <w:r>
        <w:rPr>
          <w:rFonts w:hint="eastAsia" w:ascii="宋体" w:hAnsi="宋体" w:cs="宋体"/>
          <w:sz w:val="28"/>
          <w:szCs w:val="28"/>
        </w:rPr>
        <w:t>付款方式：此合同仅为采购人与中标人签订的采购意向合同，因本项目出资方为</w:t>
      </w:r>
      <w:r>
        <w:rPr>
          <w:rFonts w:hint="eastAsia" w:ascii="宋体" w:hAnsi="宋体" w:cs="宋体"/>
          <w:sz w:val="28"/>
          <w:szCs w:val="28"/>
          <w:lang w:eastAsia="zh-Hans"/>
        </w:rPr>
        <w:t>两家</w:t>
      </w:r>
      <w:r>
        <w:rPr>
          <w:rFonts w:hint="eastAsia" w:ascii="宋体" w:hAnsi="宋体" w:cs="宋体"/>
          <w:sz w:val="28"/>
          <w:szCs w:val="28"/>
        </w:rPr>
        <w:t>银行，一家银行负责为办事大厅升级和个人数据中心（一张表系统）建设出资，一家银行负责为一网通办门户和移动校园应用出资。拟于项目上线稳定运行三个月且验收合格后由出资方支付合同总额的 95%，维保期满后支付 5%尾款。具体付款方式及条件须以</w:t>
      </w:r>
      <w:r>
        <w:rPr>
          <w:rFonts w:hint="eastAsia" w:ascii="宋体" w:hAnsi="宋体" w:cs="宋体"/>
          <w:sz w:val="28"/>
          <w:szCs w:val="28"/>
          <w:lang w:eastAsia="zh-Hans"/>
        </w:rPr>
        <w:t>两家</w:t>
      </w:r>
      <w:r>
        <w:rPr>
          <w:rFonts w:hint="eastAsia" w:ascii="宋体" w:hAnsi="宋体" w:cs="宋体"/>
          <w:sz w:val="28"/>
          <w:szCs w:val="28"/>
        </w:rPr>
        <w:t>银行与中标人在另行签订的供货合同中约定。</w:t>
      </w:r>
    </w:p>
    <w:p>
      <w:pPr>
        <w:pStyle w:val="2"/>
        <w:ind w:left="0" w:leftChars="0" w:firstLine="0" w:firstLineChars="0"/>
      </w:pPr>
    </w:p>
    <w:p>
      <w:pPr>
        <w:spacing w:line="360" w:lineRule="auto"/>
        <w:ind w:firstLine="562" w:firstLineChars="200"/>
        <w:rPr>
          <w:rFonts w:ascii="宋体" w:hAnsi="宋体" w:cs="宋体"/>
          <w:b/>
          <w:sz w:val="28"/>
          <w:szCs w:val="28"/>
        </w:rPr>
      </w:pPr>
      <w:r>
        <w:rPr>
          <w:rFonts w:hint="eastAsia" w:ascii="宋体" w:hAnsi="宋体" w:cs="宋体"/>
          <w:b/>
          <w:sz w:val="28"/>
          <w:szCs w:val="28"/>
        </w:rPr>
        <w:t>五、各方当事人的义务及协作、技术服务事项</w:t>
      </w:r>
    </w:p>
    <w:p>
      <w:pPr>
        <w:spacing w:line="360" w:lineRule="auto"/>
        <w:ind w:firstLine="560" w:firstLineChars="200"/>
        <w:rPr>
          <w:rFonts w:ascii="宋体" w:hAnsi="宋体" w:cs="宋体"/>
          <w:sz w:val="28"/>
          <w:szCs w:val="28"/>
        </w:rPr>
      </w:pPr>
      <w:r>
        <w:rPr>
          <w:rFonts w:hint="eastAsia" w:ascii="宋体" w:hAnsi="宋体" w:cs="宋体"/>
          <w:sz w:val="28"/>
          <w:szCs w:val="28"/>
        </w:rPr>
        <w:t>（一）甲方的职责、权利和义务</w:t>
      </w:r>
    </w:p>
    <w:p>
      <w:pPr>
        <w:tabs>
          <w:tab w:val="left" w:pos="905"/>
        </w:tabs>
        <w:spacing w:line="360" w:lineRule="auto"/>
        <w:ind w:firstLine="560" w:firstLineChars="200"/>
        <w:rPr>
          <w:rFonts w:ascii="宋体" w:hAnsi="宋体" w:cs="宋体"/>
          <w:sz w:val="28"/>
          <w:szCs w:val="28"/>
        </w:rPr>
      </w:pPr>
      <w:r>
        <w:rPr>
          <w:rFonts w:hint="eastAsia" w:ascii="宋体" w:hAnsi="宋体" w:cs="宋体"/>
          <w:sz w:val="28"/>
          <w:szCs w:val="28"/>
        </w:rPr>
        <w:t>1.在项目实施中，提供乙方必要的工作条件，做好乙方与甲方系统使用部门之间的协调工作；</w:t>
      </w:r>
    </w:p>
    <w:p>
      <w:pPr>
        <w:tabs>
          <w:tab w:val="left" w:pos="905"/>
        </w:tabs>
        <w:spacing w:line="360" w:lineRule="auto"/>
        <w:ind w:firstLine="560" w:firstLineChars="200"/>
        <w:rPr>
          <w:rFonts w:ascii="宋体" w:hAnsi="宋体" w:cs="宋体"/>
          <w:sz w:val="28"/>
          <w:szCs w:val="28"/>
        </w:rPr>
      </w:pPr>
      <w:r>
        <w:rPr>
          <w:rFonts w:hint="eastAsia" w:ascii="宋体" w:hAnsi="宋体" w:cs="宋体"/>
          <w:sz w:val="28"/>
          <w:szCs w:val="28"/>
        </w:rPr>
        <w:t>2.甲方应按合同第四项所规定的付款方式支付各项合同费用。</w:t>
      </w:r>
    </w:p>
    <w:p>
      <w:pPr>
        <w:spacing w:line="360" w:lineRule="auto"/>
        <w:ind w:firstLine="560" w:firstLineChars="200"/>
        <w:rPr>
          <w:rFonts w:ascii="宋体" w:hAnsi="宋体" w:cs="宋体"/>
          <w:sz w:val="28"/>
          <w:szCs w:val="28"/>
        </w:rPr>
      </w:pPr>
      <w:r>
        <w:rPr>
          <w:rFonts w:hint="eastAsia" w:ascii="宋体" w:hAnsi="宋体" w:cs="宋体"/>
          <w:sz w:val="28"/>
          <w:szCs w:val="28"/>
        </w:rPr>
        <w:t>（二）乙方的职责、权利和义务</w:t>
      </w:r>
    </w:p>
    <w:p>
      <w:pPr>
        <w:spacing w:line="360" w:lineRule="auto"/>
        <w:ind w:firstLine="560" w:firstLineChars="200"/>
        <w:rPr>
          <w:rFonts w:ascii="宋体" w:hAnsi="宋体" w:cs="宋体"/>
          <w:sz w:val="28"/>
          <w:szCs w:val="28"/>
        </w:rPr>
      </w:pPr>
      <w:r>
        <w:rPr>
          <w:rFonts w:hint="eastAsia" w:ascii="宋体" w:hAnsi="宋体" w:cs="宋体"/>
          <w:sz w:val="28"/>
          <w:szCs w:val="28"/>
        </w:rPr>
        <w:t>1.按合同约定做好项目开发服务工作；</w:t>
      </w:r>
    </w:p>
    <w:p>
      <w:pPr>
        <w:spacing w:line="360" w:lineRule="auto"/>
        <w:ind w:firstLine="560" w:firstLineChars="200"/>
        <w:rPr>
          <w:rFonts w:ascii="宋体" w:hAnsi="宋体" w:cs="宋体"/>
          <w:sz w:val="28"/>
          <w:szCs w:val="28"/>
        </w:rPr>
      </w:pPr>
      <w:r>
        <w:rPr>
          <w:rFonts w:hint="eastAsia" w:ascii="宋体" w:hAnsi="宋体" w:cs="宋体"/>
          <w:sz w:val="28"/>
          <w:szCs w:val="28"/>
        </w:rPr>
        <w:t>2.按合同约定做好系统实施工作；</w:t>
      </w:r>
    </w:p>
    <w:p>
      <w:pPr>
        <w:spacing w:line="360" w:lineRule="auto"/>
        <w:ind w:firstLine="560" w:firstLineChars="200"/>
        <w:rPr>
          <w:rFonts w:ascii="宋体" w:hAnsi="宋体" w:cs="宋体"/>
          <w:sz w:val="28"/>
          <w:szCs w:val="28"/>
        </w:rPr>
      </w:pPr>
      <w:r>
        <w:rPr>
          <w:rFonts w:hint="eastAsia" w:ascii="宋体" w:hAnsi="宋体" w:cs="宋体"/>
          <w:sz w:val="28"/>
          <w:szCs w:val="28"/>
        </w:rPr>
        <w:t>3.按合同约定做好维护服务工作。</w:t>
      </w:r>
    </w:p>
    <w:p>
      <w:pPr>
        <w:spacing w:line="360" w:lineRule="auto"/>
        <w:ind w:firstLine="562" w:firstLineChars="200"/>
        <w:rPr>
          <w:rFonts w:ascii="宋体" w:hAnsi="宋体" w:cs="宋体"/>
          <w:b/>
          <w:sz w:val="28"/>
          <w:szCs w:val="28"/>
        </w:rPr>
      </w:pPr>
      <w:r>
        <w:rPr>
          <w:rFonts w:hint="eastAsia" w:ascii="宋体" w:hAnsi="宋体" w:cs="宋体"/>
          <w:b/>
          <w:sz w:val="28"/>
          <w:szCs w:val="28"/>
        </w:rPr>
        <w:t>六、技术信息和经营信息保密事项</w:t>
      </w:r>
    </w:p>
    <w:p>
      <w:pPr>
        <w:spacing w:line="360" w:lineRule="auto"/>
        <w:ind w:firstLine="560" w:firstLineChars="200"/>
        <w:rPr>
          <w:rFonts w:ascii="宋体" w:hAnsi="宋体" w:cs="宋体"/>
          <w:sz w:val="28"/>
          <w:szCs w:val="28"/>
        </w:rPr>
      </w:pPr>
      <w:r>
        <w:rPr>
          <w:rFonts w:hint="eastAsia" w:ascii="宋体" w:hAnsi="宋体" w:cs="宋体"/>
          <w:sz w:val="28"/>
          <w:szCs w:val="28"/>
        </w:rPr>
        <w:t>（一）甲方有责任对获知的乙方技术或者商业秘密保守机密。</w:t>
      </w:r>
    </w:p>
    <w:p>
      <w:pPr>
        <w:spacing w:line="360" w:lineRule="auto"/>
        <w:ind w:firstLine="560" w:firstLineChars="200"/>
        <w:rPr>
          <w:rFonts w:ascii="宋体" w:hAnsi="宋体" w:cs="宋体"/>
          <w:sz w:val="28"/>
          <w:szCs w:val="28"/>
        </w:rPr>
      </w:pPr>
      <w:r>
        <w:rPr>
          <w:rFonts w:hint="eastAsia" w:ascii="宋体" w:hAnsi="宋体" w:cs="宋体"/>
          <w:sz w:val="28"/>
          <w:szCs w:val="28"/>
        </w:rPr>
        <w:t>（二）乙方有责任对获知的甲方技术或者商业秘密保守机密。并对系统中涉及甲方业务的关键数据保守机密。</w:t>
      </w:r>
    </w:p>
    <w:p>
      <w:pPr>
        <w:spacing w:line="360" w:lineRule="auto"/>
        <w:ind w:firstLine="560" w:firstLineChars="200"/>
        <w:rPr>
          <w:rFonts w:ascii="宋体" w:hAnsi="宋体" w:cs="宋体"/>
          <w:sz w:val="28"/>
          <w:szCs w:val="28"/>
        </w:rPr>
      </w:pPr>
      <w:r>
        <w:rPr>
          <w:rFonts w:hint="eastAsia" w:ascii="宋体" w:hAnsi="宋体" w:cs="宋体"/>
          <w:sz w:val="28"/>
          <w:szCs w:val="28"/>
        </w:rPr>
        <w:t>（三）未经对方同意，任一方（甲方、乙方）均不得向第三方透露本合同及与本合同相关的一切内容。</w:t>
      </w:r>
    </w:p>
    <w:p>
      <w:pPr>
        <w:spacing w:line="360" w:lineRule="auto"/>
        <w:ind w:firstLine="562" w:firstLineChars="200"/>
        <w:rPr>
          <w:rFonts w:ascii="宋体" w:hAnsi="宋体" w:cs="宋体"/>
          <w:b/>
          <w:sz w:val="28"/>
          <w:szCs w:val="28"/>
        </w:rPr>
      </w:pPr>
      <w:r>
        <w:rPr>
          <w:rFonts w:hint="eastAsia" w:ascii="宋体" w:hAnsi="宋体" w:cs="宋体"/>
          <w:b/>
          <w:sz w:val="28"/>
          <w:szCs w:val="28"/>
        </w:rPr>
        <w:t>七、验收的标准和方法</w:t>
      </w:r>
    </w:p>
    <w:p>
      <w:pPr>
        <w:pStyle w:val="157"/>
        <w:spacing w:line="360" w:lineRule="auto"/>
        <w:ind w:left="0" w:firstLine="560" w:firstLineChars="200"/>
        <w:rPr>
          <w:rFonts w:ascii="宋体" w:hAnsi="宋体" w:cs="宋体"/>
          <w:sz w:val="28"/>
          <w:szCs w:val="28"/>
        </w:rPr>
      </w:pPr>
      <w:r>
        <w:rPr>
          <w:rFonts w:hint="eastAsia" w:ascii="宋体" w:hAnsi="宋体" w:cs="宋体"/>
          <w:sz w:val="28"/>
          <w:szCs w:val="28"/>
        </w:rPr>
        <w:t>由甲乙双方及甲方客户根据本合同约定，参考项目实际履行情况共同确定验收标准和方法。由甲乙双方及甲方客户对完成结果进行验收；并由乙方提交技术文档及书面报告。</w:t>
      </w:r>
    </w:p>
    <w:p>
      <w:pPr>
        <w:spacing w:line="360" w:lineRule="auto"/>
        <w:ind w:firstLine="562" w:firstLineChars="200"/>
        <w:rPr>
          <w:rFonts w:ascii="宋体" w:hAnsi="宋体" w:cs="宋体"/>
          <w:b/>
          <w:sz w:val="28"/>
          <w:szCs w:val="28"/>
        </w:rPr>
      </w:pPr>
      <w:r>
        <w:rPr>
          <w:rFonts w:hint="eastAsia" w:ascii="宋体" w:hAnsi="宋体" w:cs="宋体"/>
          <w:b/>
          <w:sz w:val="28"/>
          <w:szCs w:val="28"/>
        </w:rPr>
        <w:t>八、技术成果的归属和分享及后续改进的提供与分享规定</w:t>
      </w:r>
    </w:p>
    <w:p>
      <w:pPr>
        <w:spacing w:line="360" w:lineRule="auto"/>
        <w:ind w:firstLine="560" w:firstLineChars="200"/>
        <w:rPr>
          <w:rFonts w:ascii="宋体" w:hAnsi="宋体" w:cs="宋体"/>
          <w:sz w:val="28"/>
          <w:szCs w:val="28"/>
        </w:rPr>
      </w:pPr>
      <w:r>
        <w:rPr>
          <w:rFonts w:hint="eastAsia" w:ascii="宋体" w:hAnsi="宋体" w:cs="宋体"/>
          <w:sz w:val="28"/>
          <w:szCs w:val="28"/>
        </w:rPr>
        <w:t>该软件所有权归甲方所有。</w:t>
      </w:r>
    </w:p>
    <w:p>
      <w:pPr>
        <w:spacing w:line="360" w:lineRule="auto"/>
        <w:ind w:firstLine="562" w:firstLineChars="200"/>
        <w:rPr>
          <w:rFonts w:ascii="宋体" w:hAnsi="宋体" w:cs="宋体"/>
          <w:b/>
          <w:sz w:val="28"/>
          <w:szCs w:val="28"/>
        </w:rPr>
      </w:pPr>
      <w:r>
        <w:rPr>
          <w:rFonts w:hint="eastAsia" w:ascii="宋体" w:hAnsi="宋体" w:cs="宋体"/>
          <w:b/>
          <w:sz w:val="28"/>
          <w:szCs w:val="28"/>
        </w:rPr>
        <w:t>九、违约金或者损失赔偿的方式</w:t>
      </w:r>
    </w:p>
    <w:p>
      <w:pPr>
        <w:spacing w:line="360" w:lineRule="auto"/>
        <w:ind w:firstLine="560" w:firstLineChars="200"/>
        <w:rPr>
          <w:rFonts w:ascii="宋体" w:hAnsi="宋体" w:cs="宋体"/>
          <w:sz w:val="28"/>
          <w:szCs w:val="28"/>
        </w:rPr>
      </w:pPr>
      <w:r>
        <w:rPr>
          <w:rFonts w:hint="eastAsia" w:ascii="宋体" w:hAnsi="宋体" w:cs="宋体"/>
          <w:sz w:val="28"/>
          <w:szCs w:val="28"/>
        </w:rPr>
        <w:t>单方违反本合同约定，违约方应当按照《中华人民共和国合同法》有关条款的规定，承担违约责任。</w:t>
      </w:r>
    </w:p>
    <w:p>
      <w:pPr>
        <w:spacing w:line="360" w:lineRule="auto"/>
        <w:ind w:firstLine="560" w:firstLineChars="200"/>
        <w:rPr>
          <w:rFonts w:ascii="宋体" w:hAnsi="宋体" w:cs="宋体"/>
          <w:sz w:val="28"/>
          <w:szCs w:val="28"/>
        </w:rPr>
      </w:pPr>
      <w:r>
        <w:rPr>
          <w:rFonts w:hint="eastAsia" w:ascii="宋体" w:hAnsi="宋体" w:cs="宋体"/>
          <w:sz w:val="28"/>
          <w:szCs w:val="28"/>
        </w:rPr>
        <w:t>（一）若甲方无正当的理由而延迟支付乙方各种款项或甲方未按照合同约定提供工作条件和协作事项导致失败，甲方应当承担责任，并向乙方支付总体费用5%的违约金。</w:t>
      </w:r>
    </w:p>
    <w:p>
      <w:pPr>
        <w:spacing w:line="360" w:lineRule="auto"/>
        <w:ind w:firstLine="560" w:firstLineChars="200"/>
        <w:rPr>
          <w:rFonts w:ascii="宋体" w:hAnsi="宋体" w:cs="宋体"/>
          <w:sz w:val="28"/>
          <w:szCs w:val="28"/>
        </w:rPr>
      </w:pPr>
      <w:r>
        <w:rPr>
          <w:rFonts w:hint="eastAsia" w:ascii="宋体" w:hAnsi="宋体" w:cs="宋体"/>
          <w:sz w:val="28"/>
          <w:szCs w:val="28"/>
        </w:rPr>
        <w:t>（二）若乙方未按合同约定方法提供产品及技术服务或无法按合同规定内容完成项目工作并无甲方可接受的正当理由，则甲方有权要求其采取补救措施，若乙方未采取措施进行补救，则应当承担责任，向甲方支付总体费用5%的违约金，并将项目工作继续完成。</w:t>
      </w:r>
    </w:p>
    <w:p>
      <w:pPr>
        <w:spacing w:line="360" w:lineRule="auto"/>
        <w:ind w:firstLine="560" w:firstLineChars="200"/>
        <w:rPr>
          <w:rFonts w:ascii="宋体" w:hAnsi="宋体" w:cs="宋体"/>
          <w:sz w:val="28"/>
          <w:szCs w:val="28"/>
        </w:rPr>
      </w:pPr>
      <w:r>
        <w:rPr>
          <w:rFonts w:hint="eastAsia" w:ascii="宋体" w:hAnsi="宋体" w:cs="宋体"/>
          <w:sz w:val="28"/>
          <w:szCs w:val="28"/>
        </w:rPr>
        <w:t>（三）若乙方未按合同约定时间提供产品及技术服务，则甲方有权要求乙方支付延期费，延期费自合同约定完成交付日期起计，每延期一日支付合同总费用2‰的延期费，乙方并必须将项目工作继续完成。</w:t>
      </w:r>
    </w:p>
    <w:p>
      <w:pPr>
        <w:spacing w:line="360" w:lineRule="auto"/>
        <w:ind w:firstLine="560" w:firstLineChars="200"/>
        <w:rPr>
          <w:rFonts w:ascii="宋体" w:hAnsi="宋体" w:cs="宋体"/>
          <w:sz w:val="28"/>
          <w:szCs w:val="28"/>
        </w:rPr>
      </w:pPr>
      <w:r>
        <w:rPr>
          <w:rFonts w:hint="eastAsia" w:ascii="宋体" w:hAnsi="宋体" w:cs="宋体"/>
          <w:sz w:val="28"/>
          <w:szCs w:val="28"/>
        </w:rPr>
        <w:t>（四）若乙方未按合同约定及时完成维护服务，每产生一例故障未及时排除事件，甲方有权扣取合同总费用1%的违约费。</w:t>
      </w:r>
    </w:p>
    <w:p>
      <w:pPr>
        <w:spacing w:line="360" w:lineRule="auto"/>
        <w:ind w:firstLine="562" w:firstLineChars="200"/>
        <w:rPr>
          <w:rFonts w:ascii="宋体" w:hAnsi="宋体" w:cs="宋体"/>
          <w:b/>
          <w:sz w:val="28"/>
          <w:szCs w:val="28"/>
        </w:rPr>
      </w:pPr>
      <w:r>
        <w:rPr>
          <w:rFonts w:hint="eastAsia" w:ascii="宋体" w:hAnsi="宋体" w:cs="宋体"/>
          <w:b/>
          <w:sz w:val="28"/>
          <w:szCs w:val="28"/>
        </w:rPr>
        <w:t>十、风险责任的承担及争议的解决方式</w:t>
      </w:r>
    </w:p>
    <w:p>
      <w:pPr>
        <w:spacing w:line="360" w:lineRule="auto"/>
        <w:ind w:firstLine="560" w:firstLineChars="200"/>
        <w:rPr>
          <w:rFonts w:ascii="宋体" w:hAnsi="宋体" w:cs="宋体"/>
          <w:sz w:val="28"/>
          <w:szCs w:val="28"/>
        </w:rPr>
      </w:pPr>
      <w:r>
        <w:rPr>
          <w:rFonts w:hint="eastAsia" w:ascii="宋体" w:hAnsi="宋体" w:cs="宋体"/>
          <w:sz w:val="28"/>
          <w:szCs w:val="28"/>
        </w:rPr>
        <w:t>双方协商解决，也可以请求调解。调解不成，采用以下第</w:t>
      </w:r>
      <w:r>
        <w:rPr>
          <w:rFonts w:hint="eastAsia" w:ascii="宋体" w:hAnsi="宋体" w:cs="宋体"/>
          <w:sz w:val="28"/>
          <w:szCs w:val="28"/>
          <w:u w:val="single"/>
        </w:rPr>
        <w:t xml:space="preserve"> （一） </w:t>
      </w:r>
      <w:r>
        <w:rPr>
          <w:rFonts w:hint="eastAsia" w:ascii="宋体" w:hAnsi="宋体" w:cs="宋体"/>
          <w:sz w:val="28"/>
          <w:szCs w:val="28"/>
        </w:rPr>
        <w:t>种方式解决。</w:t>
      </w:r>
    </w:p>
    <w:p>
      <w:pPr>
        <w:spacing w:line="360" w:lineRule="auto"/>
        <w:ind w:firstLine="560" w:firstLineChars="200"/>
        <w:rPr>
          <w:rFonts w:ascii="宋体" w:hAnsi="宋体" w:cs="宋体"/>
          <w:sz w:val="28"/>
          <w:szCs w:val="28"/>
        </w:rPr>
      </w:pPr>
      <w:r>
        <w:rPr>
          <w:rFonts w:hint="eastAsia" w:ascii="宋体" w:hAnsi="宋体" w:cs="宋体"/>
          <w:sz w:val="28"/>
          <w:szCs w:val="28"/>
        </w:rPr>
        <w:t>（一）因合同所发生的任何争议，申请由合同履行地仲裁委员会仲裁；</w:t>
      </w:r>
    </w:p>
    <w:p>
      <w:pPr>
        <w:spacing w:line="360" w:lineRule="auto"/>
        <w:ind w:firstLine="560" w:firstLineChars="200"/>
        <w:rPr>
          <w:rFonts w:ascii="宋体" w:hAnsi="宋体" w:cs="宋体"/>
          <w:sz w:val="28"/>
          <w:szCs w:val="28"/>
        </w:rPr>
      </w:pPr>
      <w:r>
        <w:rPr>
          <w:rFonts w:hint="eastAsia" w:ascii="宋体" w:hAnsi="宋体" w:cs="宋体"/>
          <w:sz w:val="28"/>
          <w:szCs w:val="28"/>
        </w:rPr>
        <w:t>（二）向人民法院诉讼，约定由合同履行地人民法院管辖。</w:t>
      </w:r>
    </w:p>
    <w:p>
      <w:pPr>
        <w:spacing w:line="360" w:lineRule="auto"/>
        <w:ind w:firstLine="562" w:firstLineChars="200"/>
        <w:rPr>
          <w:rFonts w:ascii="宋体" w:hAnsi="宋体" w:cs="宋体"/>
          <w:b/>
          <w:sz w:val="28"/>
          <w:szCs w:val="28"/>
        </w:rPr>
      </w:pPr>
      <w:r>
        <w:rPr>
          <w:rFonts w:hint="eastAsia" w:ascii="宋体" w:hAnsi="宋体" w:cs="宋体"/>
          <w:b/>
          <w:sz w:val="28"/>
          <w:szCs w:val="28"/>
        </w:rPr>
        <w:t>十一、名词和技术术语的解释</w:t>
      </w:r>
    </w:p>
    <w:p>
      <w:pPr>
        <w:spacing w:line="360" w:lineRule="auto"/>
        <w:ind w:firstLine="560" w:firstLineChars="200"/>
        <w:rPr>
          <w:rFonts w:ascii="宋体" w:hAnsi="宋体" w:cs="宋体"/>
          <w:sz w:val="28"/>
          <w:szCs w:val="28"/>
        </w:rPr>
      </w:pPr>
      <w:r>
        <w:rPr>
          <w:rFonts w:hint="eastAsia" w:ascii="宋体" w:hAnsi="宋体" w:cs="宋体"/>
          <w:sz w:val="28"/>
          <w:szCs w:val="28"/>
        </w:rPr>
        <w:t>无。</w:t>
      </w:r>
    </w:p>
    <w:p>
      <w:pPr>
        <w:spacing w:line="360" w:lineRule="auto"/>
        <w:ind w:firstLine="562" w:firstLineChars="200"/>
        <w:rPr>
          <w:rFonts w:ascii="宋体" w:hAnsi="宋体" w:cs="宋体"/>
          <w:b/>
          <w:sz w:val="28"/>
          <w:szCs w:val="28"/>
        </w:rPr>
      </w:pPr>
      <w:r>
        <w:rPr>
          <w:rFonts w:hint="eastAsia" w:ascii="宋体" w:hAnsi="宋体" w:cs="宋体"/>
          <w:b/>
          <w:sz w:val="28"/>
          <w:szCs w:val="28"/>
        </w:rPr>
        <w:t>十二、其它有关约定事项</w:t>
      </w:r>
    </w:p>
    <w:p>
      <w:pPr>
        <w:spacing w:line="360" w:lineRule="auto"/>
        <w:ind w:firstLine="560" w:firstLineChars="200"/>
        <w:rPr>
          <w:rFonts w:ascii="宋体" w:hAnsi="宋体" w:cs="宋体"/>
          <w:sz w:val="28"/>
          <w:szCs w:val="28"/>
        </w:rPr>
      </w:pPr>
      <w:r>
        <w:rPr>
          <w:rFonts w:hint="eastAsia" w:ascii="宋体" w:hAnsi="宋体" w:cs="宋体"/>
          <w:sz w:val="28"/>
          <w:szCs w:val="28"/>
        </w:rPr>
        <w:t>本合同自双方签字盖章后生效，合同履行完毕后合同条款即终止。</w:t>
      </w:r>
    </w:p>
    <w:p>
      <w:pPr>
        <w:spacing w:line="360" w:lineRule="auto"/>
        <w:ind w:firstLine="562" w:firstLineChars="200"/>
        <w:rPr>
          <w:rFonts w:ascii="宋体" w:hAnsi="宋体" w:cs="宋体"/>
          <w:b/>
          <w:sz w:val="28"/>
          <w:szCs w:val="28"/>
        </w:rPr>
      </w:pPr>
      <w:r>
        <w:rPr>
          <w:rFonts w:hint="eastAsia" w:ascii="宋体" w:hAnsi="宋体" w:cs="宋体"/>
          <w:b/>
          <w:sz w:val="28"/>
          <w:szCs w:val="28"/>
        </w:rPr>
        <w:t xml:space="preserve">十三、本合同一式 </w:t>
      </w:r>
      <w:r>
        <w:rPr>
          <w:rFonts w:hint="eastAsia" w:ascii="宋体" w:hAnsi="宋体" w:cs="宋体"/>
          <w:b/>
          <w:sz w:val="28"/>
          <w:szCs w:val="28"/>
          <w:u w:val="single"/>
        </w:rPr>
        <w:t xml:space="preserve"> 陆 </w:t>
      </w:r>
      <w:r>
        <w:rPr>
          <w:rFonts w:hint="eastAsia" w:ascii="宋体" w:hAnsi="宋体" w:cs="宋体"/>
          <w:b/>
          <w:sz w:val="28"/>
          <w:szCs w:val="28"/>
        </w:rPr>
        <w:t>份，甲方执肆份，乙方执贰份，具有同等法律效力。</w:t>
      </w:r>
    </w:p>
    <w:p>
      <w:pPr>
        <w:spacing w:line="360" w:lineRule="auto"/>
        <w:ind w:firstLine="562" w:firstLineChars="200"/>
        <w:rPr>
          <w:rFonts w:ascii="宋体" w:hAnsi="宋体" w:cs="宋体"/>
          <w:b/>
          <w:sz w:val="28"/>
          <w:szCs w:val="28"/>
        </w:rPr>
      </w:pPr>
      <w:r>
        <w:rPr>
          <w:rFonts w:hint="eastAsia" w:ascii="宋体" w:hAnsi="宋体" w:cs="宋体"/>
          <w:b/>
          <w:sz w:val="28"/>
          <w:szCs w:val="28"/>
        </w:rPr>
        <w:t>十四、本合同经双方签字盖章后生效。</w:t>
      </w:r>
    </w:p>
    <w:p/>
    <w:p>
      <w:pPr>
        <w:pStyle w:val="156"/>
      </w:pPr>
    </w:p>
    <w:p/>
    <w:p>
      <w:pPr>
        <w:pStyle w:val="156"/>
      </w:pPr>
    </w:p>
    <w:p/>
    <w:p>
      <w:pPr>
        <w:pStyle w:val="156"/>
      </w:pPr>
    </w:p>
    <w:p>
      <w:r>
        <w:rPr>
          <w:rFonts w:hint="eastAsia"/>
        </w:rPr>
        <w:br w:type="page"/>
      </w:r>
    </w:p>
    <w:p>
      <w:pPr>
        <w:pStyle w:val="64"/>
      </w:pPr>
    </w:p>
    <w:p>
      <w:pPr>
        <w:pStyle w:val="156"/>
      </w:pPr>
    </w:p>
    <w:p>
      <w:pPr>
        <w:pStyle w:val="156"/>
        <w:ind w:firstLine="0"/>
      </w:pPr>
    </w:p>
    <w:tbl>
      <w:tblPr>
        <w:tblStyle w:val="33"/>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432"/>
        <w:gridCol w:w="4093"/>
        <w:gridCol w:w="1569"/>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54" w:type="pct"/>
            <w:vMerge w:val="restart"/>
            <w:textDirection w:val="tbRlV"/>
            <w:vAlign w:val="center"/>
          </w:tcPr>
          <w:p>
            <w:pPr>
              <w:ind w:left="113" w:right="113"/>
              <w:jc w:val="center"/>
              <w:rPr>
                <w:rFonts w:ascii="宋体" w:hAnsi="宋体" w:cs="宋体"/>
                <w:sz w:val="24"/>
              </w:rPr>
            </w:pPr>
            <w:r>
              <w:rPr>
                <w:rFonts w:hint="eastAsia" w:ascii="宋体" w:hAnsi="宋体" w:cs="宋体"/>
                <w:sz w:val="24"/>
              </w:rPr>
              <w:t>委   托   方（甲方）</w:t>
            </w:r>
          </w:p>
        </w:tc>
        <w:tc>
          <w:tcPr>
            <w:tcW w:w="783" w:type="pct"/>
            <w:vAlign w:val="center"/>
          </w:tcPr>
          <w:p>
            <w:pPr>
              <w:jc w:val="center"/>
              <w:rPr>
                <w:rFonts w:ascii="宋体" w:hAnsi="宋体" w:cs="宋体"/>
                <w:sz w:val="24"/>
              </w:rPr>
            </w:pPr>
            <w:r>
              <w:rPr>
                <w:rFonts w:hint="eastAsia" w:ascii="宋体" w:hAnsi="宋体" w:cs="宋体"/>
                <w:sz w:val="24"/>
              </w:rPr>
              <w:t>单位名称</w:t>
            </w:r>
          </w:p>
        </w:tc>
        <w:tc>
          <w:tcPr>
            <w:tcW w:w="2238" w:type="pct"/>
            <w:vAlign w:val="center"/>
          </w:tcPr>
          <w:p>
            <w:pPr>
              <w:jc w:val="center"/>
              <w:rPr>
                <w:rFonts w:ascii="宋体" w:hAnsi="宋体" w:cs="宋体"/>
                <w:sz w:val="24"/>
              </w:rPr>
            </w:pPr>
          </w:p>
        </w:tc>
        <w:tc>
          <w:tcPr>
            <w:tcW w:w="858" w:type="pct"/>
            <w:vAlign w:val="center"/>
          </w:tcPr>
          <w:p>
            <w:pPr>
              <w:pStyle w:val="64"/>
              <w:ind w:left="0"/>
              <w:jc w:val="center"/>
              <w:rPr>
                <w:rFonts w:ascii="宋体" w:hAnsi="宋体" w:cs="宋体"/>
              </w:rPr>
            </w:pPr>
            <w:r>
              <w:rPr>
                <w:rFonts w:hint="eastAsia" w:ascii="宋体" w:hAnsi="宋体" w:cs="宋体"/>
              </w:rPr>
              <w:t>法定代表人</w:t>
            </w:r>
          </w:p>
          <w:p>
            <w:pPr>
              <w:jc w:val="center"/>
              <w:rPr>
                <w:rFonts w:ascii="宋体" w:hAnsi="宋体" w:cs="宋体"/>
                <w:sz w:val="24"/>
              </w:rPr>
            </w:pPr>
            <w:r>
              <w:rPr>
                <w:rFonts w:hint="eastAsia" w:ascii="宋体" w:hAnsi="宋体" w:cs="宋体"/>
                <w:sz w:val="24"/>
              </w:rPr>
              <w:t>（签字）</w:t>
            </w:r>
          </w:p>
        </w:tc>
        <w:tc>
          <w:tcPr>
            <w:tcW w:w="765" w:type="pc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详细地址</w:t>
            </w:r>
          </w:p>
        </w:tc>
        <w:tc>
          <w:tcPr>
            <w:tcW w:w="2238" w:type="pct"/>
            <w:vAlign w:val="center"/>
          </w:tcPr>
          <w:p>
            <w:pPr>
              <w:jc w:val="center"/>
              <w:rPr>
                <w:rFonts w:ascii="宋体" w:hAnsi="宋体" w:cs="宋体"/>
                <w:sz w:val="24"/>
              </w:rPr>
            </w:pPr>
          </w:p>
        </w:tc>
        <w:tc>
          <w:tcPr>
            <w:tcW w:w="858" w:type="pct"/>
            <w:vAlign w:val="center"/>
          </w:tcPr>
          <w:p>
            <w:pPr>
              <w:jc w:val="center"/>
              <w:rPr>
                <w:rFonts w:ascii="宋体" w:hAnsi="宋体" w:cs="宋体"/>
                <w:sz w:val="24"/>
              </w:rPr>
            </w:pPr>
            <w:r>
              <w:rPr>
                <w:rFonts w:hint="eastAsia" w:ascii="宋体" w:hAnsi="宋体" w:cs="宋体"/>
                <w:sz w:val="24"/>
              </w:rPr>
              <w:t>项目负责人</w:t>
            </w:r>
          </w:p>
          <w:p>
            <w:pPr>
              <w:jc w:val="center"/>
              <w:rPr>
                <w:rFonts w:ascii="宋体" w:hAnsi="宋体" w:cs="宋体"/>
                <w:sz w:val="24"/>
              </w:rPr>
            </w:pPr>
            <w:r>
              <w:rPr>
                <w:rFonts w:hint="eastAsia" w:ascii="宋体" w:hAnsi="宋体" w:cs="宋体"/>
                <w:sz w:val="24"/>
              </w:rPr>
              <w:t>（签字）</w:t>
            </w:r>
          </w:p>
        </w:tc>
        <w:tc>
          <w:tcPr>
            <w:tcW w:w="765" w:type="pc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开户银行</w:t>
            </w:r>
          </w:p>
        </w:tc>
        <w:tc>
          <w:tcPr>
            <w:tcW w:w="2238" w:type="pct"/>
            <w:vAlign w:val="center"/>
          </w:tcPr>
          <w:p>
            <w:pPr>
              <w:jc w:val="center"/>
              <w:rPr>
                <w:rFonts w:ascii="宋体" w:hAnsi="宋体" w:cs="宋体"/>
                <w:sz w:val="24"/>
              </w:rPr>
            </w:pPr>
          </w:p>
        </w:tc>
        <w:tc>
          <w:tcPr>
            <w:tcW w:w="1624" w:type="pct"/>
            <w:gridSpan w:val="2"/>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（单位盖章）</w:t>
            </w:r>
          </w:p>
          <w:p>
            <w:pPr>
              <w:jc w:val="center"/>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帐    号</w:t>
            </w:r>
          </w:p>
        </w:tc>
        <w:tc>
          <w:tcPr>
            <w:tcW w:w="2238" w:type="pct"/>
            <w:vAlign w:val="center"/>
          </w:tcPr>
          <w:p>
            <w:pPr>
              <w:jc w:val="center"/>
              <w:rPr>
                <w:rFonts w:ascii="宋体" w:hAnsi="宋体" w:cs="宋体"/>
                <w:sz w:val="24"/>
              </w:rPr>
            </w:pPr>
          </w:p>
        </w:tc>
        <w:tc>
          <w:tcPr>
            <w:tcW w:w="1624" w:type="pct"/>
            <w:gridSpan w:val="2"/>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电    话</w:t>
            </w:r>
          </w:p>
        </w:tc>
        <w:tc>
          <w:tcPr>
            <w:tcW w:w="2238" w:type="pct"/>
            <w:vAlign w:val="center"/>
          </w:tcPr>
          <w:p>
            <w:pPr>
              <w:jc w:val="center"/>
              <w:rPr>
                <w:rFonts w:ascii="宋体" w:hAnsi="宋体" w:cs="宋体"/>
                <w:sz w:val="24"/>
              </w:rPr>
            </w:pPr>
          </w:p>
        </w:tc>
        <w:tc>
          <w:tcPr>
            <w:tcW w:w="1624" w:type="pct"/>
            <w:gridSpan w:val="2"/>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54" w:type="pct"/>
            <w:vMerge w:val="restart"/>
            <w:textDirection w:val="tbRlV"/>
            <w:vAlign w:val="center"/>
          </w:tcPr>
          <w:p>
            <w:pPr>
              <w:ind w:left="113" w:right="113"/>
              <w:jc w:val="center"/>
              <w:rPr>
                <w:rFonts w:ascii="宋体" w:hAnsi="宋体" w:cs="宋体"/>
                <w:sz w:val="24"/>
              </w:rPr>
            </w:pPr>
            <w:r>
              <w:rPr>
                <w:rFonts w:hint="eastAsia" w:ascii="宋体" w:hAnsi="宋体" w:cs="宋体"/>
                <w:sz w:val="24"/>
              </w:rPr>
              <w:t>受   托   方（乙方）</w:t>
            </w:r>
          </w:p>
        </w:tc>
        <w:tc>
          <w:tcPr>
            <w:tcW w:w="783" w:type="pct"/>
            <w:vAlign w:val="center"/>
          </w:tcPr>
          <w:p>
            <w:pPr>
              <w:jc w:val="center"/>
              <w:rPr>
                <w:rFonts w:ascii="宋体" w:hAnsi="宋体" w:cs="宋体"/>
                <w:sz w:val="24"/>
              </w:rPr>
            </w:pPr>
            <w:r>
              <w:rPr>
                <w:rFonts w:hint="eastAsia" w:ascii="宋体" w:hAnsi="宋体" w:cs="宋体"/>
                <w:sz w:val="24"/>
              </w:rPr>
              <w:t>单位名称</w:t>
            </w:r>
          </w:p>
        </w:tc>
        <w:tc>
          <w:tcPr>
            <w:tcW w:w="2238" w:type="pct"/>
            <w:vAlign w:val="center"/>
          </w:tcPr>
          <w:p>
            <w:pPr>
              <w:jc w:val="center"/>
              <w:rPr>
                <w:rFonts w:ascii="宋体" w:hAnsi="宋体" w:cs="宋体"/>
                <w:sz w:val="24"/>
              </w:rPr>
            </w:pPr>
          </w:p>
        </w:tc>
        <w:tc>
          <w:tcPr>
            <w:tcW w:w="858" w:type="pct"/>
            <w:vAlign w:val="center"/>
          </w:tcPr>
          <w:p>
            <w:pPr>
              <w:pStyle w:val="64"/>
              <w:ind w:left="0"/>
              <w:jc w:val="center"/>
              <w:rPr>
                <w:rFonts w:ascii="宋体" w:hAnsi="宋体" w:cs="宋体"/>
              </w:rPr>
            </w:pPr>
            <w:r>
              <w:rPr>
                <w:rFonts w:hint="eastAsia" w:ascii="宋体" w:hAnsi="宋体" w:cs="宋体"/>
              </w:rPr>
              <w:t>法定代表人</w:t>
            </w:r>
          </w:p>
          <w:p>
            <w:pPr>
              <w:jc w:val="center"/>
              <w:rPr>
                <w:rFonts w:ascii="宋体" w:hAnsi="宋体" w:cs="宋体"/>
                <w:sz w:val="24"/>
              </w:rPr>
            </w:pPr>
            <w:r>
              <w:rPr>
                <w:rFonts w:hint="eastAsia" w:ascii="宋体" w:hAnsi="宋体" w:cs="宋体"/>
                <w:sz w:val="24"/>
              </w:rPr>
              <w:t>（签字）</w:t>
            </w:r>
          </w:p>
        </w:tc>
        <w:tc>
          <w:tcPr>
            <w:tcW w:w="765" w:type="pc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详细地址</w:t>
            </w:r>
          </w:p>
        </w:tc>
        <w:tc>
          <w:tcPr>
            <w:tcW w:w="2238" w:type="pct"/>
            <w:vAlign w:val="center"/>
          </w:tcPr>
          <w:p>
            <w:pPr>
              <w:jc w:val="center"/>
              <w:rPr>
                <w:rFonts w:ascii="宋体" w:hAnsi="宋体" w:cs="宋体"/>
                <w:sz w:val="24"/>
              </w:rPr>
            </w:pPr>
          </w:p>
        </w:tc>
        <w:tc>
          <w:tcPr>
            <w:tcW w:w="858" w:type="pct"/>
            <w:vAlign w:val="center"/>
          </w:tcPr>
          <w:p>
            <w:pPr>
              <w:jc w:val="center"/>
              <w:rPr>
                <w:rFonts w:ascii="宋体" w:hAnsi="宋体" w:cs="宋体"/>
                <w:sz w:val="24"/>
              </w:rPr>
            </w:pPr>
            <w:r>
              <w:rPr>
                <w:rFonts w:hint="eastAsia" w:ascii="宋体" w:hAnsi="宋体" w:cs="宋体"/>
                <w:sz w:val="24"/>
              </w:rPr>
              <w:t>项目负责人</w:t>
            </w:r>
          </w:p>
          <w:p>
            <w:pPr>
              <w:jc w:val="center"/>
              <w:rPr>
                <w:rFonts w:ascii="宋体" w:hAnsi="宋体" w:cs="宋体"/>
                <w:sz w:val="24"/>
              </w:rPr>
            </w:pPr>
            <w:r>
              <w:rPr>
                <w:rFonts w:hint="eastAsia" w:ascii="宋体" w:hAnsi="宋体" w:cs="宋体"/>
                <w:sz w:val="24"/>
              </w:rPr>
              <w:t>（签字）</w:t>
            </w:r>
          </w:p>
        </w:tc>
        <w:tc>
          <w:tcPr>
            <w:tcW w:w="765" w:type="pc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开户银行</w:t>
            </w:r>
          </w:p>
        </w:tc>
        <w:tc>
          <w:tcPr>
            <w:tcW w:w="2238" w:type="pct"/>
            <w:vAlign w:val="center"/>
          </w:tcPr>
          <w:p>
            <w:pPr>
              <w:jc w:val="center"/>
              <w:rPr>
                <w:rFonts w:ascii="宋体" w:hAnsi="宋体" w:cs="宋体"/>
                <w:sz w:val="24"/>
              </w:rPr>
            </w:pPr>
          </w:p>
        </w:tc>
        <w:tc>
          <w:tcPr>
            <w:tcW w:w="1624" w:type="pct"/>
            <w:gridSpan w:val="2"/>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（单位盖章）</w:t>
            </w:r>
          </w:p>
          <w:p>
            <w:pPr>
              <w:jc w:val="center"/>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帐    号</w:t>
            </w:r>
          </w:p>
        </w:tc>
        <w:tc>
          <w:tcPr>
            <w:tcW w:w="2238" w:type="pct"/>
            <w:vAlign w:val="center"/>
          </w:tcPr>
          <w:p>
            <w:pPr>
              <w:jc w:val="center"/>
              <w:rPr>
                <w:rFonts w:ascii="宋体" w:hAnsi="宋体" w:cs="宋体"/>
                <w:sz w:val="24"/>
              </w:rPr>
            </w:pPr>
          </w:p>
        </w:tc>
        <w:tc>
          <w:tcPr>
            <w:tcW w:w="1624" w:type="pct"/>
            <w:gridSpan w:val="2"/>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354" w:type="pct"/>
            <w:vMerge w:val="continue"/>
            <w:vAlign w:val="center"/>
          </w:tcPr>
          <w:p>
            <w:pPr>
              <w:jc w:val="center"/>
              <w:rPr>
                <w:rFonts w:ascii="宋体" w:hAnsi="宋体" w:cs="宋体"/>
                <w:sz w:val="24"/>
              </w:rPr>
            </w:pPr>
          </w:p>
        </w:tc>
        <w:tc>
          <w:tcPr>
            <w:tcW w:w="783" w:type="pct"/>
            <w:vAlign w:val="center"/>
          </w:tcPr>
          <w:p>
            <w:pPr>
              <w:jc w:val="center"/>
              <w:rPr>
                <w:rFonts w:ascii="宋体" w:hAnsi="宋体" w:cs="宋体"/>
                <w:sz w:val="24"/>
              </w:rPr>
            </w:pPr>
            <w:r>
              <w:rPr>
                <w:rFonts w:hint="eastAsia" w:ascii="宋体" w:hAnsi="宋体" w:cs="宋体"/>
                <w:sz w:val="24"/>
              </w:rPr>
              <w:t>电    话</w:t>
            </w:r>
          </w:p>
        </w:tc>
        <w:tc>
          <w:tcPr>
            <w:tcW w:w="2238" w:type="pct"/>
            <w:vAlign w:val="center"/>
          </w:tcPr>
          <w:p>
            <w:pPr>
              <w:jc w:val="center"/>
              <w:rPr>
                <w:rFonts w:ascii="宋体" w:hAnsi="宋体" w:cs="宋体"/>
                <w:sz w:val="24"/>
              </w:rPr>
            </w:pPr>
          </w:p>
        </w:tc>
        <w:tc>
          <w:tcPr>
            <w:tcW w:w="1624" w:type="pct"/>
            <w:gridSpan w:val="2"/>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137" w:type="pct"/>
            <w:gridSpan w:val="2"/>
            <w:vAlign w:val="center"/>
          </w:tcPr>
          <w:p>
            <w:pPr>
              <w:jc w:val="center"/>
              <w:rPr>
                <w:rFonts w:ascii="宋体" w:hAnsi="宋体" w:cs="宋体"/>
                <w:sz w:val="24"/>
              </w:rPr>
            </w:pPr>
            <w:r>
              <w:rPr>
                <w:rFonts w:hint="eastAsia" w:ascii="宋体" w:hAnsi="宋体" w:cs="宋体"/>
                <w:sz w:val="24"/>
              </w:rPr>
              <w:t>登 记 机 关</w:t>
            </w:r>
          </w:p>
        </w:tc>
        <w:tc>
          <w:tcPr>
            <w:tcW w:w="2238" w:type="pct"/>
            <w:vAlign w:val="center"/>
          </w:tcPr>
          <w:p>
            <w:pPr>
              <w:jc w:val="center"/>
              <w:rPr>
                <w:rFonts w:ascii="宋体" w:hAnsi="宋体" w:cs="宋体"/>
                <w:sz w:val="24"/>
              </w:rPr>
            </w:pPr>
          </w:p>
          <w:p>
            <w:pPr>
              <w:jc w:val="center"/>
              <w:rPr>
                <w:rFonts w:ascii="宋体" w:hAnsi="宋体" w:cs="宋体"/>
                <w:sz w:val="24"/>
              </w:rPr>
            </w:pPr>
          </w:p>
        </w:tc>
        <w:tc>
          <w:tcPr>
            <w:tcW w:w="1624" w:type="pct"/>
            <w:gridSpan w:val="2"/>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r>
              <w:rPr>
                <w:rFonts w:hint="eastAsia" w:ascii="宋体" w:hAnsi="宋体" w:cs="宋体"/>
                <w:sz w:val="24"/>
              </w:rPr>
              <w:t>（合同登记专用章）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137" w:type="pct"/>
            <w:gridSpan w:val="2"/>
            <w:vAlign w:val="center"/>
          </w:tcPr>
          <w:p>
            <w:pPr>
              <w:jc w:val="center"/>
              <w:rPr>
                <w:rFonts w:ascii="宋体" w:hAnsi="宋体" w:cs="宋体"/>
                <w:sz w:val="24"/>
              </w:rPr>
            </w:pPr>
            <w:r>
              <w:rPr>
                <w:rFonts w:hint="eastAsia" w:ascii="宋体" w:hAnsi="宋体" w:cs="宋体"/>
                <w:sz w:val="24"/>
              </w:rPr>
              <w:t>登 记 编 号</w:t>
            </w:r>
          </w:p>
        </w:tc>
        <w:tc>
          <w:tcPr>
            <w:tcW w:w="2238" w:type="pct"/>
            <w:vAlign w:val="center"/>
          </w:tcPr>
          <w:p>
            <w:pPr>
              <w:jc w:val="center"/>
              <w:rPr>
                <w:rFonts w:ascii="宋体" w:hAnsi="宋体" w:cs="宋体"/>
                <w:sz w:val="28"/>
                <w:szCs w:val="28"/>
              </w:rPr>
            </w:pPr>
          </w:p>
        </w:tc>
        <w:tc>
          <w:tcPr>
            <w:tcW w:w="1624" w:type="pct"/>
            <w:gridSpan w:val="2"/>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137" w:type="pct"/>
            <w:gridSpan w:val="2"/>
            <w:vAlign w:val="center"/>
          </w:tcPr>
          <w:p>
            <w:pPr>
              <w:jc w:val="center"/>
              <w:rPr>
                <w:rFonts w:ascii="宋体" w:hAnsi="宋体" w:cs="宋体"/>
                <w:sz w:val="24"/>
              </w:rPr>
            </w:pPr>
            <w:r>
              <w:rPr>
                <w:rFonts w:hint="eastAsia" w:ascii="宋体" w:hAnsi="宋体" w:cs="宋体"/>
                <w:sz w:val="24"/>
              </w:rPr>
              <w:t>登 记 日 期</w:t>
            </w:r>
          </w:p>
        </w:tc>
        <w:tc>
          <w:tcPr>
            <w:tcW w:w="2238" w:type="pct"/>
            <w:vAlign w:val="center"/>
          </w:tcPr>
          <w:p>
            <w:pPr>
              <w:jc w:val="center"/>
              <w:rPr>
                <w:rFonts w:ascii="宋体" w:hAnsi="宋体" w:cs="宋体"/>
                <w:sz w:val="28"/>
                <w:szCs w:val="28"/>
              </w:rPr>
            </w:pPr>
          </w:p>
          <w:p>
            <w:pPr>
              <w:jc w:val="center"/>
              <w:rPr>
                <w:rFonts w:ascii="宋体" w:hAnsi="宋体" w:cs="宋体"/>
                <w:sz w:val="28"/>
                <w:szCs w:val="28"/>
              </w:rPr>
            </w:pPr>
          </w:p>
        </w:tc>
        <w:tc>
          <w:tcPr>
            <w:tcW w:w="1624" w:type="pct"/>
            <w:gridSpan w:val="2"/>
            <w:vMerge w:val="continue"/>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137" w:type="pct"/>
            <w:gridSpan w:val="2"/>
            <w:vAlign w:val="center"/>
          </w:tcPr>
          <w:p>
            <w:pPr>
              <w:jc w:val="center"/>
              <w:rPr>
                <w:rFonts w:ascii="宋体" w:hAnsi="宋体" w:cs="宋体"/>
                <w:sz w:val="24"/>
              </w:rPr>
            </w:pPr>
            <w:r>
              <w:rPr>
                <w:rFonts w:hint="eastAsia" w:ascii="宋体" w:hAnsi="宋体" w:cs="宋体"/>
                <w:sz w:val="24"/>
              </w:rPr>
              <w:t>经  办   人</w:t>
            </w:r>
          </w:p>
        </w:tc>
        <w:tc>
          <w:tcPr>
            <w:tcW w:w="2238" w:type="pct"/>
            <w:vAlign w:val="center"/>
          </w:tcPr>
          <w:p>
            <w:pPr>
              <w:jc w:val="center"/>
              <w:rPr>
                <w:rFonts w:ascii="宋体" w:hAnsi="宋体" w:cs="宋体"/>
                <w:sz w:val="28"/>
                <w:szCs w:val="28"/>
              </w:rPr>
            </w:pPr>
          </w:p>
        </w:tc>
        <w:tc>
          <w:tcPr>
            <w:tcW w:w="1624" w:type="pct"/>
            <w:gridSpan w:val="2"/>
            <w:vMerge w:val="continue"/>
            <w:vAlign w:val="center"/>
          </w:tcPr>
          <w:p>
            <w:pPr>
              <w:jc w:val="center"/>
              <w:rPr>
                <w:rFonts w:ascii="宋体" w:hAnsi="宋体" w:cs="宋体"/>
                <w:sz w:val="28"/>
                <w:szCs w:val="28"/>
              </w:rPr>
            </w:pPr>
          </w:p>
        </w:tc>
      </w:tr>
    </w:tbl>
    <w:p>
      <w:pPr>
        <w:rPr>
          <w:b/>
          <w:bCs/>
          <w:sz w:val="32"/>
          <w:szCs w:val="32"/>
        </w:rPr>
      </w:pPr>
    </w:p>
    <w:p>
      <w:pPr>
        <w:rPr>
          <w:sz w:val="24"/>
        </w:rPr>
      </w:pPr>
      <w:r>
        <w:rPr>
          <w:sz w:val="24"/>
        </w:rPr>
        <w:br w:type="page"/>
      </w:r>
    </w:p>
    <w:p>
      <w:pPr>
        <w:pStyle w:val="156"/>
        <w:ind w:firstLine="0"/>
        <w:rPr>
          <w:sz w:val="24"/>
          <w:szCs w:val="24"/>
        </w:rPr>
      </w:pPr>
      <w:r>
        <w:rPr>
          <w:sz w:val="24"/>
          <w:szCs w:val="24"/>
        </w:rPr>
        <w:t>附件：功能需求</w:t>
      </w:r>
    </w:p>
    <w:p/>
    <w:p>
      <w:pPr>
        <w:ind w:firstLine="480" w:firstLineChars="200"/>
        <w:rPr>
          <w:rFonts w:ascii="宋体" w:hAnsi="宋体" w:cs="宋体"/>
          <w:sz w:val="24"/>
        </w:rPr>
      </w:pPr>
    </w:p>
    <w:p/>
    <w:p/>
    <w:bookmarkEnd w:id="280"/>
    <w:p/>
    <w:p>
      <w:pPr>
        <w:pStyle w:val="4"/>
        <w:spacing w:before="120" w:line="22" w:lineRule="atLeast"/>
        <w:ind w:firstLine="2570"/>
        <w:jc w:val="left"/>
        <w:rPr>
          <w:rFonts w:hAnsi="宋体"/>
        </w:rPr>
      </w:pPr>
      <w:r>
        <w:rPr>
          <w:rFonts w:hint="eastAsia" w:hAnsi="宋体"/>
        </w:rPr>
        <w:br w:type="page"/>
      </w:r>
      <w:bookmarkStart w:id="281" w:name="_Toc20452"/>
      <w:r>
        <w:rPr>
          <w:rFonts w:hint="eastAsia" w:hAnsi="宋体"/>
        </w:rPr>
        <w:t>第七章 投标文件格式</w:t>
      </w:r>
      <w:bookmarkEnd w:id="281"/>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1、投标人按照本部分的顺序编制投标文件，编制中涉及格式资料的，应按照本部分提供的内容和格式（所有表格的格式可扩展）填写提交。</w:t>
      </w:r>
    </w:p>
    <w:p>
      <w:pPr>
        <w:tabs>
          <w:tab w:val="left" w:pos="900"/>
          <w:tab w:val="left" w:pos="1980"/>
        </w:tabs>
        <w:snapToGrid w:val="0"/>
        <w:spacing w:line="360" w:lineRule="auto"/>
        <w:ind w:left="142"/>
        <w:rPr>
          <w:sz w:val="24"/>
        </w:rPr>
      </w:pPr>
      <w:r>
        <w:rPr>
          <w:sz w:val="24"/>
        </w:rPr>
        <w:t>2、对于招标文件中标记了“</w:t>
      </w:r>
      <w:r>
        <w:rPr>
          <w:rFonts w:hint="eastAsia"/>
          <w:sz w:val="24"/>
        </w:rPr>
        <w:t>实质性</w:t>
      </w:r>
      <w:r>
        <w:rPr>
          <w:sz w:val="24"/>
        </w:rPr>
        <w:t>格式”文件的，投标人不得改变格式中给定的文字所表达的含义，不得删减格式中的实质性内容，不得自行添加与格式中给定的文字内容相矛盾的内容，不得对应当填写的空格不填写或不实质性响应，否则</w:t>
      </w:r>
      <w:r>
        <w:rPr>
          <w:b/>
          <w:sz w:val="24"/>
        </w:rPr>
        <w:t>投标无效</w:t>
      </w:r>
      <w:r>
        <w:rPr>
          <w:sz w:val="24"/>
        </w:rPr>
        <w:t>。未标记“</w:t>
      </w:r>
      <w:r>
        <w:rPr>
          <w:rFonts w:hint="eastAsia"/>
          <w:sz w:val="24"/>
        </w:rPr>
        <w:t>实质性</w:t>
      </w:r>
      <w:r>
        <w:rPr>
          <w:sz w:val="24"/>
        </w:rPr>
        <w:t>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tabs>
          <w:tab w:val="left" w:pos="5580"/>
        </w:tabs>
        <w:spacing w:line="360" w:lineRule="auto"/>
        <w:rPr>
          <w:rFonts w:ascii="宋体" w:hAnsi="宋体"/>
          <w:sz w:val="24"/>
        </w:rPr>
      </w:pPr>
    </w:p>
    <w:p>
      <w:pPr>
        <w:pStyle w:val="5"/>
        <w:tabs>
          <w:tab w:val="left" w:pos="5580"/>
        </w:tabs>
        <w:spacing w:line="22" w:lineRule="atLeast"/>
        <w:jc w:val="both"/>
        <w:rPr>
          <w:rFonts w:ascii="宋体" w:hAnsi="宋体" w:eastAsia="宋体"/>
          <w:sz w:val="24"/>
        </w:rPr>
      </w:pPr>
      <w:bookmarkStart w:id="282" w:name="_Hlt520356241"/>
      <w:bookmarkEnd w:id="282"/>
      <w:bookmarkStart w:id="283" w:name="_Toc480942349"/>
      <w:bookmarkStart w:id="284" w:name="_Ref467988698"/>
      <w:bookmarkStart w:id="285" w:name="_Toc520356217"/>
      <w:bookmarkStart w:id="286" w:name="_Toc163893450"/>
      <w:r>
        <w:rPr>
          <w:rFonts w:hint="eastAsia" w:ascii="宋体" w:hAnsi="宋体" w:eastAsia="宋体"/>
          <w:sz w:val="24"/>
        </w:rPr>
        <w:br w:type="page"/>
      </w:r>
      <w:bookmarkStart w:id="287" w:name="_Toc19101"/>
      <w:r>
        <w:rPr>
          <w:rFonts w:hint="eastAsia" w:ascii="宋体" w:hAnsi="宋体" w:eastAsia="宋体"/>
          <w:sz w:val="24"/>
        </w:rPr>
        <w:t>1</w:t>
      </w:r>
      <w:bookmarkStart w:id="288" w:name="_Hlt520355504"/>
      <w:bookmarkEnd w:id="288"/>
      <w:r>
        <w:rPr>
          <w:rFonts w:hint="eastAsia" w:ascii="宋体" w:hAnsi="宋体" w:eastAsia="宋体"/>
          <w:sz w:val="24"/>
        </w:rPr>
        <w:t>　　　　投标</w:t>
      </w:r>
      <w:bookmarkEnd w:id="283"/>
      <w:bookmarkEnd w:id="284"/>
      <w:r>
        <w:rPr>
          <w:rFonts w:hint="eastAsia" w:ascii="宋体" w:hAnsi="宋体" w:eastAsia="宋体"/>
          <w:sz w:val="24"/>
        </w:rPr>
        <w:t>书</w:t>
      </w:r>
      <w:bookmarkEnd w:id="285"/>
      <w:r>
        <w:rPr>
          <w:rFonts w:hint="eastAsia" w:ascii="宋体" w:hAnsi="宋体" w:eastAsia="宋体"/>
          <w:sz w:val="24"/>
        </w:rPr>
        <w:t>（实质性格式）</w:t>
      </w:r>
      <w:bookmarkEnd w:id="286"/>
      <w:bookmarkEnd w:id="287"/>
    </w:p>
    <w:p>
      <w:pPr>
        <w:tabs>
          <w:tab w:val="left" w:pos="5580"/>
        </w:tabs>
        <w:spacing w:before="120" w:line="360" w:lineRule="auto"/>
        <w:rPr>
          <w:rFonts w:ascii="宋体" w:hAnsi="宋体"/>
          <w:sz w:val="24"/>
        </w:rPr>
      </w:pPr>
    </w:p>
    <w:p>
      <w:pPr>
        <w:spacing w:line="360" w:lineRule="auto"/>
        <w:jc w:val="center"/>
        <w:rPr>
          <w:rFonts w:ascii="宋体" w:hAnsi="宋体"/>
          <w:b/>
          <w:color w:val="000000"/>
          <w:sz w:val="36"/>
          <w:szCs w:val="36"/>
        </w:rPr>
      </w:pPr>
      <w:r>
        <w:rPr>
          <w:rFonts w:hint="eastAsia" w:ascii="宋体" w:hAnsi="宋体"/>
          <w:b/>
          <w:color w:val="000000"/>
          <w:sz w:val="36"/>
          <w:szCs w:val="36"/>
        </w:rPr>
        <w:t>投标书</w:t>
      </w:r>
    </w:p>
    <w:p>
      <w:pPr>
        <w:pStyle w:val="2"/>
      </w:pPr>
    </w:p>
    <w:p>
      <w:pPr>
        <w:tabs>
          <w:tab w:val="left" w:pos="5580"/>
        </w:tabs>
        <w:spacing w:before="120" w:line="360" w:lineRule="auto"/>
        <w:rPr>
          <w:rFonts w:ascii="宋体" w:hAnsi="宋体"/>
          <w:sz w:val="24"/>
        </w:rPr>
      </w:pPr>
      <w:r>
        <w:rPr>
          <w:rFonts w:hint="eastAsia" w:ascii="宋体" w:hAnsi="宋体"/>
          <w:sz w:val="24"/>
        </w:rPr>
        <w:t>致：</w:t>
      </w:r>
      <w:r>
        <w:rPr>
          <w:rFonts w:hint="eastAsia" w:ascii="宋体" w:hAnsi="宋体"/>
          <w:sz w:val="24"/>
          <w:u w:val="single"/>
        </w:rPr>
        <w:t>（采购人或采购代理机构）</w:t>
      </w:r>
    </w:p>
    <w:p>
      <w:pPr>
        <w:pStyle w:val="17"/>
        <w:tabs>
          <w:tab w:val="left" w:pos="5580"/>
        </w:tabs>
        <w:spacing w:line="360" w:lineRule="auto"/>
        <w:rPr>
          <w:rFonts w:hAnsi="宋体"/>
          <w:sz w:val="24"/>
        </w:rPr>
      </w:pPr>
    </w:p>
    <w:p>
      <w:pPr>
        <w:pStyle w:val="17"/>
        <w:tabs>
          <w:tab w:val="left" w:pos="5580"/>
        </w:tabs>
        <w:spacing w:line="360" w:lineRule="auto"/>
        <w:ind w:firstLine="408"/>
        <w:rPr>
          <w:rFonts w:hAnsi="宋体"/>
          <w:sz w:val="24"/>
        </w:rPr>
      </w:pPr>
      <w:r>
        <w:rPr>
          <w:rFonts w:hint="eastAsia" w:hAnsi="宋体"/>
          <w:sz w:val="24"/>
        </w:rPr>
        <w:t>根据贵方为(</w:t>
      </w:r>
      <w:r>
        <w:rPr>
          <w:rFonts w:hint="eastAsia" w:hAnsi="宋体"/>
          <w:sz w:val="24"/>
          <w:u w:val="single"/>
        </w:rPr>
        <w:t>项目名称</w:t>
      </w:r>
      <w:r>
        <w:rPr>
          <w:rFonts w:hint="eastAsia" w:hAnsi="宋体"/>
          <w:sz w:val="24"/>
        </w:rPr>
        <w:t>)项目招标采购货物及服务的招标公告（投标邀请）(</w:t>
      </w:r>
      <w:r>
        <w:rPr>
          <w:rFonts w:hint="eastAsia" w:hAnsi="宋体"/>
          <w:sz w:val="24"/>
          <w:u w:val="single"/>
        </w:rPr>
        <w:t>项目编号</w:t>
      </w:r>
      <w:r>
        <w:rPr>
          <w:rFonts w:hint="eastAsia" w:hAnsi="宋体"/>
          <w:sz w:val="24"/>
        </w:rPr>
        <w:t>),签字代表(</w:t>
      </w:r>
      <w:r>
        <w:rPr>
          <w:rFonts w:hint="eastAsia" w:hAnsi="宋体"/>
          <w:sz w:val="24"/>
          <w:u w:val="single"/>
        </w:rPr>
        <w:t>姓名、职务</w:t>
      </w:r>
      <w:r>
        <w:rPr>
          <w:rFonts w:hint="eastAsia" w:hAnsi="宋体"/>
          <w:sz w:val="24"/>
        </w:rPr>
        <w:t>)经正式授权并代表投标人（</w:t>
      </w:r>
      <w:r>
        <w:rPr>
          <w:rFonts w:hint="eastAsia" w:hAnsi="宋体"/>
          <w:sz w:val="24"/>
          <w:u w:val="single"/>
        </w:rPr>
        <w:t>投标人名称、地址</w:t>
      </w:r>
      <w:r>
        <w:rPr>
          <w:rFonts w:hint="eastAsia" w:hAnsi="宋体"/>
          <w:sz w:val="24"/>
        </w:rPr>
        <w:t>）提交下述文件正本一份、副本___份及电子版___份：</w:t>
      </w:r>
    </w:p>
    <w:p>
      <w:pPr>
        <w:pStyle w:val="17"/>
        <w:tabs>
          <w:tab w:val="left" w:pos="5580"/>
        </w:tabs>
        <w:spacing w:line="360" w:lineRule="auto"/>
        <w:ind w:left="408"/>
        <w:rPr>
          <w:rFonts w:hAnsi="宋体"/>
          <w:sz w:val="24"/>
        </w:rPr>
      </w:pPr>
      <w:r>
        <w:rPr>
          <w:rFonts w:hint="eastAsia" w:hAnsi="宋体"/>
          <w:sz w:val="24"/>
        </w:rPr>
        <w:t>我方已详细审查全部招标文件，自愿参与投标并承诺如下：</w:t>
      </w:r>
    </w:p>
    <w:p>
      <w:pPr>
        <w:pStyle w:val="17"/>
        <w:tabs>
          <w:tab w:val="left" w:pos="720"/>
          <w:tab w:val="left" w:pos="900"/>
        </w:tabs>
        <w:spacing w:line="360" w:lineRule="auto"/>
        <w:ind w:firstLine="480" w:firstLineChars="200"/>
        <w:rPr>
          <w:rFonts w:hAnsi="宋体"/>
          <w:sz w:val="24"/>
        </w:rPr>
      </w:pPr>
      <w:r>
        <w:rPr>
          <w:rFonts w:hint="eastAsia" w:hAnsi="宋体"/>
          <w:sz w:val="24"/>
        </w:rPr>
        <w:t>（1）后附“开标一览表”为我方参加此次投标的投标报价。</w:t>
      </w:r>
    </w:p>
    <w:p>
      <w:pPr>
        <w:pStyle w:val="17"/>
        <w:tabs>
          <w:tab w:val="left" w:pos="720"/>
          <w:tab w:val="left" w:pos="900"/>
        </w:tabs>
        <w:spacing w:line="360" w:lineRule="auto"/>
        <w:ind w:firstLine="480" w:firstLineChars="200"/>
      </w:pPr>
      <w:r>
        <w:rPr>
          <w:rFonts w:hint="eastAsia" w:hAnsi="宋体"/>
          <w:color w:val="000000"/>
          <w:sz w:val="24"/>
        </w:rPr>
        <w:t>（2）</w:t>
      </w:r>
      <w:r>
        <w:rPr>
          <w:rFonts w:hAnsi="宋体"/>
          <w:color w:val="000000"/>
          <w:sz w:val="24"/>
        </w:rPr>
        <w:t>本投标有效期为自提交投标文件的截止之日起</w:t>
      </w:r>
      <w:r>
        <w:rPr>
          <w:rFonts w:hAnsi="宋体"/>
          <w:sz w:val="24"/>
        </w:rPr>
        <w:t>_____</w:t>
      </w:r>
      <w:r>
        <w:rPr>
          <w:rFonts w:hAnsi="宋体"/>
          <w:color w:val="000000"/>
          <w:sz w:val="24"/>
        </w:rPr>
        <w:t>个日历日。</w:t>
      </w:r>
    </w:p>
    <w:p>
      <w:pPr>
        <w:pStyle w:val="17"/>
        <w:tabs>
          <w:tab w:val="left" w:pos="720"/>
          <w:tab w:val="left" w:pos="900"/>
        </w:tabs>
        <w:spacing w:line="360" w:lineRule="auto"/>
        <w:ind w:firstLine="480" w:firstLineChars="200"/>
      </w:pPr>
      <w:r>
        <w:rPr>
          <w:rFonts w:hint="eastAsia" w:hAnsi="宋体"/>
          <w:sz w:val="24"/>
        </w:rPr>
        <w:t>（3）</w:t>
      </w:r>
      <w:r>
        <w:rPr>
          <w:rFonts w:hAnsi="宋体"/>
          <w:sz w:val="24"/>
        </w:rPr>
        <w:t>除合同条款</w:t>
      </w:r>
      <w:r>
        <w:rPr>
          <w:rFonts w:hint="eastAsia" w:hAnsi="宋体"/>
          <w:sz w:val="24"/>
        </w:rPr>
        <w:t>偏离表</w:t>
      </w:r>
      <w:r>
        <w:rPr>
          <w:rFonts w:hAnsi="宋体"/>
          <w:sz w:val="24"/>
        </w:rPr>
        <w:t>及采购需求偏离表列出的偏离外，我方响应招标文件的全部要求。</w:t>
      </w:r>
    </w:p>
    <w:p>
      <w:pPr>
        <w:tabs>
          <w:tab w:val="left" w:pos="5580"/>
        </w:tabs>
        <w:spacing w:line="360" w:lineRule="auto"/>
        <w:ind w:firstLine="480" w:firstLineChars="200"/>
        <w:rPr>
          <w:rFonts w:ascii="宋体" w:hAnsi="宋体"/>
          <w:sz w:val="24"/>
        </w:rPr>
      </w:pPr>
      <w:r>
        <w:rPr>
          <w:rFonts w:hint="eastAsia" w:hAnsi="宋体"/>
          <w:sz w:val="24"/>
        </w:rPr>
        <w:t>（4）</w:t>
      </w:r>
      <w:r>
        <w:rPr>
          <w:rFonts w:ascii="宋体" w:hAnsi="宋体"/>
          <w:sz w:val="24"/>
          <w:szCs w:val="20"/>
        </w:rPr>
        <w:t>如我方中标，我方将在法律规定的期限内与</w:t>
      </w:r>
      <w:r>
        <w:rPr>
          <w:rFonts w:hint="eastAsia" w:ascii="宋体" w:hAnsi="宋体"/>
          <w:sz w:val="24"/>
          <w:szCs w:val="20"/>
        </w:rPr>
        <w:t>采购人</w:t>
      </w:r>
      <w:r>
        <w:rPr>
          <w:rFonts w:ascii="宋体" w:hAnsi="宋体"/>
          <w:sz w:val="24"/>
          <w:szCs w:val="20"/>
        </w:rPr>
        <w:t>签订合同，按照招标文件要求提交履约保证金，并在合同约定的期限内完成合同规定的全部义务。</w:t>
      </w:r>
    </w:p>
    <w:p>
      <w:pPr>
        <w:pStyle w:val="17"/>
        <w:tabs>
          <w:tab w:val="left" w:pos="5580"/>
        </w:tabs>
        <w:spacing w:line="360" w:lineRule="auto"/>
        <w:ind w:firstLine="480" w:firstLineChars="200"/>
        <w:rPr>
          <w:rFonts w:hAnsi="宋体"/>
          <w:sz w:val="24"/>
        </w:rPr>
      </w:pPr>
      <w:r>
        <w:rPr>
          <w:rFonts w:hint="eastAsia" w:hAnsi="宋体"/>
          <w:sz w:val="24"/>
        </w:rPr>
        <w:t>（5）我方已详细审查全部招标文件，包括第</w:t>
      </w:r>
      <w:r>
        <w:rPr>
          <w:rFonts w:hint="eastAsia" w:hAnsi="宋体"/>
          <w:sz w:val="24"/>
          <w:u w:val="single"/>
        </w:rPr>
        <w:t xml:space="preserve">        号（项目编号、补充通知）（如果有的话</w:t>
      </w:r>
      <w:r>
        <w:rPr>
          <w:rFonts w:hint="eastAsia" w:hAnsi="宋体"/>
          <w:sz w:val="24"/>
        </w:rPr>
        <w:t>）。我方完全理解并同意放弃对这方面有不明及误解的权力。</w:t>
      </w:r>
    </w:p>
    <w:p>
      <w:pPr>
        <w:pStyle w:val="17"/>
        <w:tabs>
          <w:tab w:val="left" w:pos="5580"/>
        </w:tabs>
        <w:spacing w:line="360" w:lineRule="auto"/>
        <w:ind w:firstLine="480" w:firstLineChars="200"/>
        <w:rPr>
          <w:rFonts w:hAnsi="宋体"/>
          <w:sz w:val="24"/>
        </w:rPr>
      </w:pPr>
      <w:r>
        <w:rPr>
          <w:rFonts w:hint="eastAsia" w:hAnsi="宋体"/>
          <w:sz w:val="24"/>
        </w:rPr>
        <w:t>（6）在规定的开标时间后，我方保证遵守招标文件中有关保证金的规定。</w:t>
      </w:r>
    </w:p>
    <w:p>
      <w:pPr>
        <w:pStyle w:val="17"/>
        <w:tabs>
          <w:tab w:val="left" w:pos="720"/>
          <w:tab w:val="left" w:pos="900"/>
        </w:tabs>
        <w:spacing w:line="360" w:lineRule="auto"/>
        <w:ind w:firstLine="480" w:firstLineChars="200"/>
        <w:rPr>
          <w:rFonts w:hAnsi="宋体"/>
          <w:color w:val="000000"/>
          <w:sz w:val="24"/>
        </w:rPr>
      </w:pPr>
      <w:r>
        <w:rPr>
          <w:rFonts w:hint="eastAsia" w:hAnsi="宋体"/>
          <w:sz w:val="24"/>
        </w:rPr>
        <w:t>（</w:t>
      </w:r>
      <w:r>
        <w:rPr>
          <w:rFonts w:hint="eastAsia" w:hAnsi="宋体"/>
          <w:color w:val="000000"/>
          <w:sz w:val="24"/>
        </w:rPr>
        <w:t>7）我方已提供的全部文件资料是真实、准确的，并对此承担一切法律后果。</w:t>
      </w:r>
    </w:p>
    <w:p>
      <w:pPr>
        <w:pStyle w:val="17"/>
        <w:tabs>
          <w:tab w:val="left" w:pos="720"/>
          <w:tab w:val="left" w:pos="900"/>
        </w:tabs>
        <w:spacing w:line="360" w:lineRule="auto"/>
        <w:ind w:firstLine="480" w:firstLineChars="200"/>
        <w:rPr>
          <w:rFonts w:hAnsi="宋体"/>
          <w:color w:val="000000"/>
          <w:sz w:val="24"/>
        </w:rPr>
      </w:pPr>
      <w:r>
        <w:rPr>
          <w:rFonts w:hint="eastAsia" w:hAnsi="宋体"/>
          <w:color w:val="000000"/>
          <w:sz w:val="24"/>
        </w:rPr>
        <w:t>（8）我方同意提供按照贵方可能要求的与其投标有关的一切数据或资料，完全理解贵方不一定接受最低价的投标或收到的任何投标。</w:t>
      </w:r>
    </w:p>
    <w:p>
      <w:pPr>
        <w:pStyle w:val="17"/>
        <w:tabs>
          <w:tab w:val="left" w:pos="720"/>
          <w:tab w:val="left" w:pos="900"/>
        </w:tabs>
        <w:spacing w:line="360" w:lineRule="auto"/>
        <w:ind w:firstLine="480" w:firstLineChars="200"/>
        <w:rPr>
          <w:rFonts w:hAnsi="宋体"/>
          <w:sz w:val="24"/>
        </w:rPr>
      </w:pPr>
      <w:r>
        <w:rPr>
          <w:rFonts w:hint="eastAsia" w:hAnsi="宋体"/>
          <w:sz w:val="24"/>
        </w:rPr>
        <w:t>与本投标有关的一切正式往来信函请寄：</w:t>
      </w:r>
    </w:p>
    <w:p>
      <w:pPr>
        <w:pStyle w:val="17"/>
        <w:tabs>
          <w:tab w:val="left" w:pos="5580"/>
        </w:tabs>
        <w:spacing w:line="360" w:lineRule="auto"/>
        <w:ind w:left="420"/>
        <w:rPr>
          <w:rFonts w:hAnsi="宋体"/>
          <w:sz w:val="24"/>
        </w:rPr>
      </w:pPr>
    </w:p>
    <w:p>
      <w:pPr>
        <w:pStyle w:val="17"/>
        <w:tabs>
          <w:tab w:val="left" w:pos="5580"/>
        </w:tabs>
        <w:spacing w:line="360" w:lineRule="auto"/>
        <w:ind w:left="420"/>
        <w:rPr>
          <w:rFonts w:hAnsi="宋体"/>
          <w:sz w:val="24"/>
        </w:rPr>
      </w:pPr>
      <w:r>
        <w:rPr>
          <w:rFonts w:hint="eastAsia" w:hAnsi="宋体"/>
          <w:sz w:val="24"/>
        </w:rPr>
        <w:t>地址_________________________     电话____________________________</w:t>
      </w:r>
    </w:p>
    <w:p>
      <w:pPr>
        <w:pStyle w:val="17"/>
        <w:tabs>
          <w:tab w:val="left" w:pos="5580"/>
        </w:tabs>
        <w:spacing w:line="360" w:lineRule="auto"/>
        <w:ind w:left="420"/>
        <w:rPr>
          <w:rFonts w:hAnsi="宋体"/>
          <w:sz w:val="24"/>
        </w:rPr>
      </w:pPr>
      <w:r>
        <w:rPr>
          <w:rFonts w:hint="eastAsia" w:hAnsi="宋体"/>
          <w:sz w:val="24"/>
        </w:rPr>
        <w:t>手机号_________________________     电子邮件________________________</w:t>
      </w:r>
    </w:p>
    <w:p>
      <w:pPr>
        <w:pStyle w:val="17"/>
        <w:tabs>
          <w:tab w:val="left" w:pos="5580"/>
        </w:tabs>
        <w:spacing w:line="360" w:lineRule="auto"/>
        <w:ind w:left="420"/>
        <w:rPr>
          <w:rFonts w:hAnsi="宋体"/>
          <w:sz w:val="24"/>
        </w:rPr>
      </w:pPr>
    </w:p>
    <w:p>
      <w:pPr>
        <w:pStyle w:val="17"/>
        <w:tabs>
          <w:tab w:val="left" w:pos="5580"/>
        </w:tabs>
        <w:spacing w:line="360" w:lineRule="auto"/>
        <w:ind w:left="420"/>
        <w:rPr>
          <w:rFonts w:hAnsi="宋体"/>
          <w:sz w:val="24"/>
        </w:rPr>
      </w:pPr>
      <w:r>
        <w:rPr>
          <w:rFonts w:hint="eastAsia" w:hAnsi="宋体"/>
          <w:sz w:val="24"/>
        </w:rPr>
        <w:t>投标人授权代表签字</w:t>
      </w:r>
      <w:r>
        <w:rPr>
          <w:rFonts w:hint="eastAsia" w:hAnsi="宋体"/>
          <w:sz w:val="24"/>
          <w:u w:val="single"/>
        </w:rPr>
        <w:t>　　　　　　　　　　</w:t>
      </w:r>
    </w:p>
    <w:p>
      <w:pPr>
        <w:pStyle w:val="17"/>
        <w:tabs>
          <w:tab w:val="left" w:pos="5580"/>
        </w:tabs>
        <w:spacing w:line="360" w:lineRule="auto"/>
        <w:ind w:left="420"/>
        <w:rPr>
          <w:rFonts w:hAnsi="宋体"/>
          <w:sz w:val="24"/>
        </w:rPr>
      </w:pPr>
      <w:r>
        <w:rPr>
          <w:rFonts w:hint="eastAsia" w:hAnsi="宋体"/>
          <w:sz w:val="24"/>
        </w:rPr>
        <w:t>投标人名称（全称）</w:t>
      </w:r>
      <w:r>
        <w:rPr>
          <w:rFonts w:hint="eastAsia" w:hAnsi="宋体"/>
          <w:sz w:val="24"/>
          <w:u w:val="single"/>
        </w:rPr>
        <w:t>　　　　　　　　　　</w:t>
      </w:r>
    </w:p>
    <w:p>
      <w:pPr>
        <w:pStyle w:val="17"/>
        <w:tabs>
          <w:tab w:val="left" w:pos="5580"/>
        </w:tabs>
        <w:spacing w:line="360" w:lineRule="auto"/>
        <w:ind w:left="420"/>
        <w:rPr>
          <w:rFonts w:hAnsi="宋体"/>
          <w:sz w:val="24"/>
        </w:rPr>
      </w:pPr>
      <w:r>
        <w:rPr>
          <w:rFonts w:hint="eastAsia" w:hAnsi="宋体"/>
          <w:sz w:val="24"/>
        </w:rPr>
        <w:t>投标人开户银行（全称）</w:t>
      </w:r>
      <w:r>
        <w:rPr>
          <w:rFonts w:hint="eastAsia" w:hAnsi="宋体"/>
          <w:sz w:val="24"/>
          <w:u w:val="single"/>
        </w:rPr>
        <w:t xml:space="preserve">　　　　   　　 </w:t>
      </w:r>
    </w:p>
    <w:p>
      <w:pPr>
        <w:pStyle w:val="17"/>
        <w:tabs>
          <w:tab w:val="left" w:pos="5580"/>
        </w:tabs>
        <w:spacing w:line="360" w:lineRule="auto"/>
        <w:ind w:left="420"/>
        <w:rPr>
          <w:rFonts w:hAnsi="宋体"/>
          <w:sz w:val="24"/>
        </w:rPr>
      </w:pPr>
      <w:r>
        <w:rPr>
          <w:rFonts w:hint="eastAsia" w:hAnsi="宋体"/>
          <w:sz w:val="24"/>
        </w:rPr>
        <w:t>投标人银行账号</w:t>
      </w:r>
      <w:r>
        <w:rPr>
          <w:rFonts w:hint="eastAsia" w:hAnsi="宋体"/>
          <w:sz w:val="24"/>
          <w:u w:val="single"/>
        </w:rPr>
        <w:t>　　　　　　　　   　　</w:t>
      </w:r>
    </w:p>
    <w:p>
      <w:pPr>
        <w:pStyle w:val="17"/>
        <w:tabs>
          <w:tab w:val="left" w:pos="5580"/>
        </w:tabs>
        <w:spacing w:line="360" w:lineRule="auto"/>
        <w:ind w:left="420"/>
        <w:rPr>
          <w:rFonts w:hAnsi="宋体"/>
          <w:sz w:val="24"/>
        </w:rPr>
      </w:pPr>
      <w:r>
        <w:rPr>
          <w:rFonts w:hint="eastAsia" w:hAnsi="宋体"/>
          <w:sz w:val="24"/>
        </w:rPr>
        <w:t>投标人公章</w:t>
      </w:r>
      <w:r>
        <w:rPr>
          <w:rFonts w:hint="eastAsia" w:hAnsi="宋体"/>
          <w:sz w:val="24"/>
          <w:u w:val="single"/>
        </w:rPr>
        <w:t>　　　　　　　　　       　</w:t>
      </w:r>
    </w:p>
    <w:p>
      <w:pPr>
        <w:pStyle w:val="17"/>
        <w:tabs>
          <w:tab w:val="left" w:pos="5580"/>
        </w:tabs>
        <w:spacing w:line="360" w:lineRule="auto"/>
        <w:ind w:left="420"/>
        <w:rPr>
          <w:rFonts w:hAnsi="宋体"/>
          <w:sz w:val="24"/>
          <w:u w:val="single"/>
        </w:rPr>
      </w:pPr>
      <w:r>
        <w:rPr>
          <w:rFonts w:hint="eastAsia" w:hAnsi="宋体"/>
          <w:sz w:val="24"/>
        </w:rPr>
        <w:t>日期</w:t>
      </w:r>
      <w:r>
        <w:rPr>
          <w:rFonts w:hint="eastAsia" w:hAnsi="宋体"/>
          <w:sz w:val="24"/>
          <w:u w:val="single"/>
        </w:rPr>
        <w:t>　　　　　　　　　            　</w:t>
      </w:r>
    </w:p>
    <w:p>
      <w:pPr>
        <w:pStyle w:val="17"/>
        <w:tabs>
          <w:tab w:val="left" w:pos="5580"/>
        </w:tabs>
        <w:spacing w:line="360" w:lineRule="auto"/>
        <w:ind w:left="420"/>
        <w:rPr>
          <w:rFonts w:hAnsi="宋体"/>
          <w:sz w:val="24"/>
          <w:u w:val="single"/>
        </w:rPr>
      </w:pPr>
    </w:p>
    <w:p>
      <w:pPr>
        <w:pStyle w:val="17"/>
        <w:tabs>
          <w:tab w:val="left" w:pos="5580"/>
        </w:tabs>
        <w:spacing w:line="360" w:lineRule="auto"/>
        <w:ind w:left="420"/>
        <w:jc w:val="left"/>
        <w:rPr>
          <w:rFonts w:hAnsi="宋体"/>
          <w:sz w:val="24"/>
          <w:u w:val="single"/>
        </w:rPr>
        <w:sectPr>
          <w:footerReference r:id="rId9" w:type="first"/>
          <w:footerReference r:id="rId7" w:type="default"/>
          <w:footerReference r:id="rId8" w:type="even"/>
          <w:type w:val="nextColumn"/>
          <w:pgSz w:w="11907" w:h="16840"/>
          <w:pgMar w:top="1758" w:right="1701" w:bottom="1588" w:left="1259" w:header="851" w:footer="851" w:gutter="0"/>
          <w:cols w:space="720" w:num="1"/>
          <w:titlePg/>
          <w:docGrid w:linePitch="462" w:charSpace="0"/>
        </w:sectPr>
      </w:pPr>
    </w:p>
    <w:p>
      <w:pPr>
        <w:pStyle w:val="5"/>
        <w:tabs>
          <w:tab w:val="left" w:pos="5580"/>
        </w:tabs>
        <w:jc w:val="both"/>
        <w:rPr>
          <w:rFonts w:ascii="宋体" w:hAnsi="宋体" w:eastAsia="宋体"/>
          <w:sz w:val="24"/>
        </w:rPr>
      </w:pPr>
      <w:bookmarkStart w:id="289" w:name="_Hlt520355938"/>
      <w:bookmarkEnd w:id="289"/>
      <w:bookmarkStart w:id="290" w:name="_Hlt520356243"/>
      <w:bookmarkEnd w:id="290"/>
      <w:bookmarkStart w:id="291" w:name="_Toc163893451"/>
      <w:bookmarkStart w:id="292" w:name="_Toc520356218"/>
      <w:bookmarkStart w:id="293" w:name="_Ref467988705"/>
      <w:bookmarkStart w:id="294" w:name="_Toc480942350"/>
      <w:bookmarkStart w:id="295" w:name="_Toc23683"/>
      <w:r>
        <w:rPr>
          <w:rFonts w:hint="eastAsia" w:ascii="宋体" w:hAnsi="宋体" w:eastAsia="宋体"/>
          <w:sz w:val="24"/>
        </w:rPr>
        <w:t>2　　　　</w:t>
      </w:r>
      <w:bookmarkEnd w:id="291"/>
      <w:bookmarkEnd w:id="292"/>
      <w:bookmarkEnd w:id="293"/>
      <w:bookmarkEnd w:id="294"/>
      <w:r>
        <w:rPr>
          <w:rFonts w:hint="eastAsia" w:ascii="宋体" w:hAnsi="宋体" w:eastAsia="宋体"/>
          <w:sz w:val="24"/>
        </w:rPr>
        <w:t>开标一览表（实质性格式）</w:t>
      </w:r>
      <w:r>
        <w:rPr>
          <w:rFonts w:hint="eastAsia" w:ascii="宋体" w:hAnsi="宋体" w:eastAsia="宋体"/>
          <w:sz w:val="24"/>
        </w:rPr>
        <w:cr/>
      </w:r>
      <w:bookmarkEnd w:id="295"/>
    </w:p>
    <w:p>
      <w:pPr>
        <w:spacing w:line="360" w:lineRule="exact"/>
        <w:jc w:val="center"/>
        <w:rPr>
          <w:rFonts w:ascii="宋体" w:hAnsi="宋体"/>
          <w:b/>
          <w:color w:val="000000"/>
          <w:sz w:val="36"/>
          <w:szCs w:val="36"/>
        </w:rPr>
      </w:pPr>
      <w:bookmarkStart w:id="296" w:name="_Toc195842923"/>
      <w:bookmarkStart w:id="297" w:name="_Toc226965831"/>
      <w:bookmarkStart w:id="298" w:name="_Toc226309802"/>
      <w:bookmarkStart w:id="299" w:name="_Toc305158826"/>
      <w:bookmarkStart w:id="300" w:name="_Toc164608827"/>
      <w:bookmarkStart w:id="301" w:name="_Toc264969248"/>
      <w:bookmarkStart w:id="302" w:name="_Toc305158900"/>
      <w:bookmarkStart w:id="303" w:name="_Toc164608672"/>
      <w:bookmarkStart w:id="304" w:name="_Toc226965748"/>
      <w:bookmarkStart w:id="305" w:name="_Toc265228396"/>
      <w:bookmarkStart w:id="306" w:name="_Toc226337254"/>
      <w:r>
        <w:rPr>
          <w:rFonts w:hint="eastAsia" w:ascii="宋体" w:hAnsi="宋体"/>
          <w:b/>
          <w:color w:val="000000"/>
          <w:sz w:val="36"/>
          <w:szCs w:val="36"/>
        </w:rPr>
        <w:t>开标一览表</w:t>
      </w:r>
      <w:bookmarkEnd w:id="296"/>
      <w:bookmarkEnd w:id="297"/>
      <w:bookmarkEnd w:id="298"/>
      <w:bookmarkEnd w:id="299"/>
      <w:bookmarkEnd w:id="300"/>
      <w:bookmarkEnd w:id="301"/>
      <w:bookmarkEnd w:id="302"/>
      <w:bookmarkEnd w:id="303"/>
      <w:bookmarkEnd w:id="304"/>
      <w:bookmarkEnd w:id="305"/>
      <w:bookmarkEnd w:id="306"/>
    </w:p>
    <w:p>
      <w:pPr>
        <w:pStyle w:val="12"/>
        <w:tabs>
          <w:tab w:val="left" w:pos="5580"/>
        </w:tabs>
        <w:rPr>
          <w:rFonts w:hAnsi="宋体"/>
        </w:rPr>
      </w:pPr>
    </w:p>
    <w:p>
      <w:pPr>
        <w:tabs>
          <w:tab w:val="left" w:pos="1800"/>
          <w:tab w:val="left" w:pos="5580"/>
        </w:tabs>
        <w:jc w:val="left"/>
        <w:rPr>
          <w:rFonts w:ascii="宋体" w:hAnsi="宋体"/>
          <w:sz w:val="24"/>
        </w:rPr>
      </w:pPr>
      <w:r>
        <w:rPr>
          <w:rFonts w:hint="eastAsia" w:ascii="宋体" w:hAnsi="宋体"/>
          <w:sz w:val="24"/>
        </w:rPr>
        <w:t>项目编号：                              项目名称：　</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3687"/>
        <w:gridCol w:w="1976"/>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vAlign w:val="center"/>
          </w:tcPr>
          <w:p>
            <w:pPr>
              <w:tabs>
                <w:tab w:val="left" w:pos="5580"/>
              </w:tabs>
              <w:jc w:val="center"/>
              <w:rPr>
                <w:b/>
                <w:sz w:val="24"/>
              </w:rPr>
            </w:pPr>
            <w:r>
              <w:rPr>
                <w:b/>
                <w:sz w:val="24"/>
              </w:rPr>
              <w:t>序号</w:t>
            </w:r>
          </w:p>
        </w:tc>
        <w:tc>
          <w:tcPr>
            <w:tcW w:w="2215" w:type="pct"/>
            <w:vMerge w:val="restart"/>
            <w:vAlign w:val="center"/>
          </w:tcPr>
          <w:p>
            <w:pPr>
              <w:tabs>
                <w:tab w:val="left" w:pos="5580"/>
              </w:tabs>
              <w:jc w:val="center"/>
              <w:rPr>
                <w:b/>
                <w:sz w:val="24"/>
              </w:rPr>
            </w:pPr>
            <w:r>
              <w:rPr>
                <w:b/>
                <w:sz w:val="24"/>
              </w:rPr>
              <w:t>投标人名称</w:t>
            </w:r>
          </w:p>
        </w:tc>
        <w:tc>
          <w:tcPr>
            <w:tcW w:w="2373" w:type="pct"/>
            <w:gridSpan w:val="2"/>
            <w:vAlign w:val="center"/>
          </w:tcPr>
          <w:p>
            <w:pPr>
              <w:tabs>
                <w:tab w:val="left" w:pos="5580"/>
              </w:tabs>
              <w:jc w:val="center"/>
              <w:rPr>
                <w:b/>
                <w:sz w:val="24"/>
              </w:rPr>
            </w:pPr>
            <w:r>
              <w:rPr>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pPr>
              <w:tabs>
                <w:tab w:val="left" w:pos="5580"/>
              </w:tabs>
              <w:jc w:val="center"/>
              <w:rPr>
                <w:sz w:val="24"/>
              </w:rPr>
            </w:pPr>
          </w:p>
        </w:tc>
        <w:tc>
          <w:tcPr>
            <w:tcW w:w="2215" w:type="pct"/>
            <w:vMerge w:val="continue"/>
            <w:vAlign w:val="center"/>
          </w:tcPr>
          <w:p>
            <w:pPr>
              <w:tabs>
                <w:tab w:val="left" w:pos="5580"/>
              </w:tabs>
              <w:jc w:val="center"/>
              <w:rPr>
                <w:sz w:val="24"/>
              </w:rPr>
            </w:pPr>
          </w:p>
        </w:tc>
        <w:tc>
          <w:tcPr>
            <w:tcW w:w="1187" w:type="pct"/>
            <w:vAlign w:val="center"/>
          </w:tcPr>
          <w:p>
            <w:pPr>
              <w:tabs>
                <w:tab w:val="left" w:pos="5580"/>
              </w:tabs>
              <w:jc w:val="center"/>
              <w:rPr>
                <w:b/>
                <w:sz w:val="24"/>
              </w:rPr>
            </w:pPr>
            <w:r>
              <w:rPr>
                <w:b/>
                <w:sz w:val="24"/>
              </w:rPr>
              <w:t>大写</w:t>
            </w:r>
          </w:p>
        </w:tc>
        <w:tc>
          <w:tcPr>
            <w:tcW w:w="1185" w:type="pct"/>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pPr>
              <w:tabs>
                <w:tab w:val="left" w:pos="5580"/>
              </w:tabs>
              <w:jc w:val="center"/>
              <w:rPr>
                <w:sz w:val="24"/>
              </w:rPr>
            </w:pPr>
          </w:p>
        </w:tc>
        <w:tc>
          <w:tcPr>
            <w:tcW w:w="2215" w:type="pct"/>
            <w:vAlign w:val="center"/>
          </w:tcPr>
          <w:p>
            <w:pPr>
              <w:tabs>
                <w:tab w:val="left" w:pos="5580"/>
              </w:tabs>
              <w:jc w:val="center"/>
              <w:rPr>
                <w:sz w:val="24"/>
              </w:rPr>
            </w:pPr>
          </w:p>
        </w:tc>
        <w:tc>
          <w:tcPr>
            <w:tcW w:w="1187" w:type="pct"/>
            <w:vAlign w:val="center"/>
          </w:tcPr>
          <w:p>
            <w:pPr>
              <w:tabs>
                <w:tab w:val="left" w:pos="5580"/>
              </w:tabs>
              <w:jc w:val="center"/>
              <w:rPr>
                <w:sz w:val="24"/>
              </w:rPr>
            </w:pPr>
          </w:p>
        </w:tc>
        <w:tc>
          <w:tcPr>
            <w:tcW w:w="1185" w:type="pct"/>
            <w:vAlign w:val="center"/>
          </w:tcPr>
          <w:p>
            <w:pPr>
              <w:tabs>
                <w:tab w:val="left" w:pos="5580"/>
              </w:tabs>
              <w:jc w:val="center"/>
              <w:rPr>
                <w:sz w:val="24"/>
              </w:rPr>
            </w:pPr>
          </w:p>
        </w:tc>
      </w:tr>
    </w:tbl>
    <w:p>
      <w:pPr>
        <w:pStyle w:val="17"/>
        <w:tabs>
          <w:tab w:val="left" w:pos="5580"/>
        </w:tabs>
        <w:spacing w:before="120" w:line="22" w:lineRule="atLeast"/>
        <w:ind w:left="680" w:hanging="680"/>
        <w:rPr>
          <w:rFonts w:hAnsi="宋体"/>
          <w:sz w:val="24"/>
        </w:rPr>
      </w:pPr>
    </w:p>
    <w:p>
      <w:pPr>
        <w:pStyle w:val="17"/>
        <w:tabs>
          <w:tab w:val="left" w:pos="5580"/>
        </w:tabs>
        <w:spacing w:before="120" w:line="22" w:lineRule="atLeast"/>
        <w:rPr>
          <w:rFonts w:hAnsi="宋体"/>
          <w:sz w:val="24"/>
        </w:rPr>
      </w:pPr>
      <w:r>
        <w:rPr>
          <w:rFonts w:hint="eastAsia" w:hAnsi="宋体"/>
          <w:sz w:val="24"/>
        </w:rPr>
        <w:t>投标人名称（盖章）：</w:t>
      </w:r>
      <w:r>
        <w:rPr>
          <w:rFonts w:hint="eastAsia" w:hAnsi="宋体"/>
          <w:sz w:val="24"/>
          <w:u w:val="single"/>
        </w:rPr>
        <w:t xml:space="preserve">                       </w:t>
      </w:r>
    </w:p>
    <w:p>
      <w:pPr>
        <w:pStyle w:val="17"/>
        <w:tabs>
          <w:tab w:val="left" w:pos="5580"/>
        </w:tabs>
        <w:spacing w:before="120" w:line="22" w:lineRule="atLeast"/>
        <w:rPr>
          <w:rFonts w:hAnsi="宋体"/>
          <w:sz w:val="24"/>
          <w:u w:val="single"/>
        </w:rPr>
      </w:pPr>
      <w:r>
        <w:rPr>
          <w:rFonts w:hint="eastAsia" w:hAnsi="宋体"/>
          <w:sz w:val="24"/>
        </w:rPr>
        <w:t>投标人授权代表(签字):</w:t>
      </w:r>
      <w:r>
        <w:rPr>
          <w:rFonts w:hAnsi="宋体"/>
          <w:sz w:val="24"/>
          <w:u w:val="single"/>
        </w:rPr>
        <w:tab/>
      </w:r>
    </w:p>
    <w:p>
      <w:pPr>
        <w:pStyle w:val="17"/>
        <w:tabs>
          <w:tab w:val="left" w:pos="5580"/>
        </w:tabs>
        <w:spacing w:before="120" w:line="22" w:lineRule="atLeast"/>
        <w:rPr>
          <w:rFonts w:hAnsi="宋体"/>
          <w:sz w:val="24"/>
        </w:rPr>
      </w:pPr>
    </w:p>
    <w:p>
      <w:pPr>
        <w:pStyle w:val="17"/>
        <w:tabs>
          <w:tab w:val="left" w:pos="5580"/>
        </w:tabs>
        <w:spacing w:before="120" w:line="22" w:lineRule="atLeast"/>
        <w:rPr>
          <w:rFonts w:hAnsi="宋体"/>
          <w:sz w:val="24"/>
        </w:rPr>
      </w:pPr>
      <w:r>
        <w:rPr>
          <w:rFonts w:hint="eastAsia" w:hAnsi="宋体"/>
          <w:sz w:val="24"/>
        </w:rPr>
        <w:t>注:1、除投标文件中外，此表还应按投标人须知的规定密封标记并单独递交一份原件；</w:t>
      </w:r>
    </w:p>
    <w:p>
      <w:pPr>
        <w:pStyle w:val="17"/>
        <w:tabs>
          <w:tab w:val="left" w:pos="5580"/>
        </w:tabs>
        <w:spacing w:before="120" w:line="22" w:lineRule="atLeast"/>
        <w:ind w:firstLine="364" w:firstLineChars="150"/>
        <w:rPr>
          <w:rFonts w:hAnsi="宋体"/>
          <w:sz w:val="24"/>
        </w:rPr>
      </w:pPr>
      <w:r>
        <w:rPr>
          <w:rFonts w:hint="eastAsia" w:hAnsi="宋体"/>
          <w:sz w:val="24"/>
        </w:rPr>
        <w:t>2、单独递交的此表如与投标文件正本中不一致的，以单独递交的为准。</w:t>
      </w:r>
    </w:p>
    <w:p>
      <w:pPr>
        <w:pStyle w:val="17"/>
        <w:tabs>
          <w:tab w:val="left" w:pos="5580"/>
        </w:tabs>
        <w:spacing w:before="120" w:line="22" w:lineRule="atLeast"/>
        <w:ind w:left="719" w:hanging="360"/>
        <w:rPr>
          <w:rFonts w:hAnsi="宋体"/>
          <w:sz w:val="24"/>
        </w:rPr>
      </w:pPr>
      <w:r>
        <w:rPr>
          <w:rFonts w:hint="eastAsia" w:hAnsi="宋体"/>
          <w:sz w:val="24"/>
        </w:rPr>
        <w:t>3、</w:t>
      </w:r>
      <w:r>
        <w:rPr>
          <w:rFonts w:hAnsi="宋体"/>
          <w:color w:val="000000"/>
          <w:sz w:val="24"/>
        </w:rPr>
        <w:t>此表中，每</w:t>
      </w:r>
      <w:r>
        <w:rPr>
          <w:rFonts w:hint="eastAsia" w:hAnsi="宋体"/>
          <w:sz w:val="24"/>
        </w:rPr>
        <w:t>包的投标报价应</w:t>
      </w:r>
      <w:r>
        <w:rPr>
          <w:rFonts w:hAnsi="宋体"/>
          <w:color w:val="000000"/>
          <w:sz w:val="24"/>
        </w:rPr>
        <w:t>和《投标分项报价表》中的总价相一致。</w:t>
      </w:r>
    </w:p>
    <w:p>
      <w:pPr>
        <w:pStyle w:val="17"/>
        <w:tabs>
          <w:tab w:val="left" w:pos="5580"/>
        </w:tabs>
        <w:spacing w:before="120" w:line="22" w:lineRule="atLeast"/>
        <w:ind w:firstLine="360"/>
        <w:rPr>
          <w:rFonts w:hAnsi="宋体"/>
          <w:sz w:val="24"/>
        </w:rPr>
        <w:sectPr>
          <w:footerReference r:id="rId10" w:type="default"/>
          <w:pgSz w:w="11906" w:h="16838"/>
          <w:pgMar w:top="1440" w:right="1797" w:bottom="1440" w:left="1797" w:header="851" w:footer="992" w:gutter="0"/>
          <w:cols w:space="720" w:num="1"/>
          <w:docGrid w:type="linesAndChars" w:linePitch="312" w:charSpace="640"/>
        </w:sectPr>
      </w:pPr>
    </w:p>
    <w:p/>
    <w:p>
      <w:pPr>
        <w:pStyle w:val="5"/>
        <w:jc w:val="both"/>
        <w:rPr>
          <w:rFonts w:ascii="宋体" w:hAnsi="宋体" w:eastAsia="宋体"/>
          <w:sz w:val="24"/>
        </w:rPr>
      </w:pPr>
      <w:bookmarkStart w:id="307" w:name="_Toc163893452"/>
      <w:bookmarkStart w:id="308" w:name="_Toc6675"/>
      <w:r>
        <w:rPr>
          <w:rFonts w:hint="eastAsia" w:ascii="宋体" w:hAnsi="宋体" w:eastAsia="宋体"/>
          <w:sz w:val="24"/>
        </w:rPr>
        <w:t>3　　　　投标分项报价表</w:t>
      </w:r>
      <w:bookmarkEnd w:id="307"/>
      <w:r>
        <w:rPr>
          <w:rFonts w:hint="eastAsia" w:ascii="宋体" w:hAnsi="宋体" w:eastAsia="宋体"/>
          <w:sz w:val="24"/>
        </w:rPr>
        <w:t>（实质性格式）</w:t>
      </w:r>
      <w:bookmarkEnd w:id="308"/>
    </w:p>
    <w:p>
      <w:pPr>
        <w:pStyle w:val="17"/>
        <w:rPr>
          <w:rFonts w:hAnsi="宋体"/>
          <w:sz w:val="24"/>
        </w:rPr>
      </w:pPr>
    </w:p>
    <w:p>
      <w:pPr>
        <w:tabs>
          <w:tab w:val="left" w:pos="1800"/>
          <w:tab w:val="left" w:pos="5580"/>
        </w:tabs>
        <w:rPr>
          <w:color w:val="000000"/>
          <w:sz w:val="24"/>
        </w:rPr>
      </w:pPr>
      <w:r>
        <w:rPr>
          <w:color w:val="000000"/>
          <w:sz w:val="24"/>
        </w:rPr>
        <w:t>项目编号/包号：___________ 项目名称：__________报价单位：人民币元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697"/>
        <w:gridCol w:w="1237"/>
        <w:gridCol w:w="1235"/>
        <w:gridCol w:w="123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7" w:type="dxa"/>
            <w:vAlign w:val="center"/>
          </w:tcPr>
          <w:p>
            <w:pPr>
              <w:adjustRightInd w:val="0"/>
              <w:snapToGrid w:val="0"/>
              <w:jc w:val="left"/>
              <w:rPr>
                <w:b/>
                <w:color w:val="000000"/>
                <w:sz w:val="24"/>
              </w:rPr>
            </w:pPr>
            <w:r>
              <w:rPr>
                <w:b/>
                <w:color w:val="000000"/>
                <w:sz w:val="24"/>
              </w:rPr>
              <w:t>序号</w:t>
            </w:r>
          </w:p>
        </w:tc>
        <w:tc>
          <w:tcPr>
            <w:tcW w:w="2697" w:type="dxa"/>
            <w:vAlign w:val="center"/>
          </w:tcPr>
          <w:p>
            <w:pPr>
              <w:adjustRightInd w:val="0"/>
              <w:snapToGrid w:val="0"/>
              <w:jc w:val="left"/>
              <w:rPr>
                <w:b/>
                <w:color w:val="000000"/>
                <w:sz w:val="24"/>
              </w:rPr>
            </w:pPr>
            <w:r>
              <w:rPr>
                <w:b/>
                <w:color w:val="000000"/>
                <w:sz w:val="24"/>
              </w:rPr>
              <w:t>分项名称</w:t>
            </w:r>
          </w:p>
        </w:tc>
        <w:tc>
          <w:tcPr>
            <w:tcW w:w="1237" w:type="dxa"/>
            <w:vAlign w:val="center"/>
          </w:tcPr>
          <w:p>
            <w:pPr>
              <w:adjustRightInd w:val="0"/>
              <w:snapToGrid w:val="0"/>
              <w:jc w:val="left"/>
              <w:rPr>
                <w:b/>
                <w:color w:val="000000"/>
                <w:sz w:val="24"/>
              </w:rPr>
            </w:pPr>
            <w:r>
              <w:rPr>
                <w:b/>
                <w:color w:val="000000"/>
                <w:sz w:val="24"/>
              </w:rPr>
              <w:t>单价（元）</w:t>
            </w:r>
          </w:p>
        </w:tc>
        <w:tc>
          <w:tcPr>
            <w:tcW w:w="1235" w:type="dxa"/>
            <w:vAlign w:val="center"/>
          </w:tcPr>
          <w:p>
            <w:pPr>
              <w:adjustRightInd w:val="0"/>
              <w:snapToGrid w:val="0"/>
              <w:jc w:val="center"/>
              <w:rPr>
                <w:b/>
                <w:color w:val="000000"/>
                <w:sz w:val="24"/>
              </w:rPr>
            </w:pPr>
            <w:r>
              <w:rPr>
                <w:rFonts w:hint="eastAsia"/>
                <w:b/>
                <w:color w:val="000000"/>
                <w:sz w:val="24"/>
              </w:rPr>
              <w:t>数量</w:t>
            </w:r>
          </w:p>
        </w:tc>
        <w:tc>
          <w:tcPr>
            <w:tcW w:w="1235" w:type="dxa"/>
            <w:vAlign w:val="center"/>
          </w:tcPr>
          <w:p>
            <w:pPr>
              <w:adjustRightInd w:val="0"/>
              <w:snapToGrid w:val="0"/>
              <w:jc w:val="left"/>
              <w:rPr>
                <w:b/>
                <w:color w:val="000000"/>
                <w:sz w:val="24"/>
              </w:rPr>
            </w:pPr>
            <w:r>
              <w:rPr>
                <w:b/>
                <w:color w:val="000000"/>
                <w:sz w:val="24"/>
              </w:rPr>
              <w:t>合价（元）</w:t>
            </w:r>
          </w:p>
        </w:tc>
        <w:tc>
          <w:tcPr>
            <w:tcW w:w="1567" w:type="dxa"/>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57" w:type="dxa"/>
            <w:vAlign w:val="center"/>
          </w:tcPr>
          <w:p>
            <w:pPr>
              <w:adjustRightInd w:val="0"/>
              <w:snapToGrid w:val="0"/>
              <w:jc w:val="center"/>
              <w:rPr>
                <w:color w:val="000000"/>
                <w:sz w:val="24"/>
              </w:rPr>
            </w:pPr>
            <w:r>
              <w:rPr>
                <w:color w:val="000000"/>
                <w:sz w:val="24"/>
              </w:rPr>
              <w:t>1</w:t>
            </w:r>
          </w:p>
        </w:tc>
        <w:tc>
          <w:tcPr>
            <w:tcW w:w="2697" w:type="dxa"/>
            <w:vAlign w:val="bottom"/>
          </w:tcPr>
          <w:p>
            <w:pPr>
              <w:spacing w:line="360" w:lineRule="auto"/>
              <w:jc w:val="center"/>
              <w:rPr>
                <w:color w:val="000000"/>
                <w:sz w:val="24"/>
              </w:rPr>
            </w:pPr>
            <w:r>
              <w:rPr>
                <w:rFonts w:hint="eastAsia"/>
                <w:color w:val="000000"/>
                <w:sz w:val="24"/>
              </w:rPr>
              <w:t>办事大厅升级</w:t>
            </w:r>
          </w:p>
        </w:tc>
        <w:tc>
          <w:tcPr>
            <w:tcW w:w="1237" w:type="dxa"/>
            <w:vAlign w:val="center"/>
          </w:tcPr>
          <w:p>
            <w:pPr>
              <w:adjustRightInd w:val="0"/>
              <w:snapToGrid w:val="0"/>
              <w:jc w:val="left"/>
              <w:rPr>
                <w:color w:val="000000"/>
                <w:sz w:val="24"/>
              </w:rPr>
            </w:pPr>
          </w:p>
        </w:tc>
        <w:tc>
          <w:tcPr>
            <w:tcW w:w="1235" w:type="dxa"/>
          </w:tcPr>
          <w:p>
            <w:pPr>
              <w:adjustRightInd w:val="0"/>
              <w:snapToGrid w:val="0"/>
              <w:jc w:val="left"/>
              <w:rPr>
                <w:color w:val="000000"/>
                <w:sz w:val="24"/>
              </w:rPr>
            </w:pPr>
          </w:p>
        </w:tc>
        <w:tc>
          <w:tcPr>
            <w:tcW w:w="1235" w:type="dxa"/>
            <w:vAlign w:val="center"/>
          </w:tcPr>
          <w:p>
            <w:pPr>
              <w:adjustRightInd w:val="0"/>
              <w:snapToGrid w:val="0"/>
              <w:jc w:val="left"/>
              <w:rPr>
                <w:color w:val="000000"/>
                <w:sz w:val="24"/>
              </w:rPr>
            </w:pPr>
          </w:p>
        </w:tc>
        <w:tc>
          <w:tcPr>
            <w:tcW w:w="1567"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57" w:type="dxa"/>
            <w:vAlign w:val="center"/>
          </w:tcPr>
          <w:p>
            <w:pPr>
              <w:adjustRightInd w:val="0"/>
              <w:snapToGrid w:val="0"/>
              <w:jc w:val="center"/>
              <w:rPr>
                <w:color w:val="000000"/>
                <w:sz w:val="24"/>
              </w:rPr>
            </w:pPr>
            <w:r>
              <w:rPr>
                <w:color w:val="000000"/>
                <w:sz w:val="24"/>
              </w:rPr>
              <w:t>2</w:t>
            </w:r>
          </w:p>
        </w:tc>
        <w:tc>
          <w:tcPr>
            <w:tcW w:w="2697" w:type="dxa"/>
            <w:vAlign w:val="bottom"/>
          </w:tcPr>
          <w:p>
            <w:pPr>
              <w:spacing w:line="360" w:lineRule="auto"/>
              <w:jc w:val="center"/>
              <w:rPr>
                <w:color w:val="000000"/>
                <w:sz w:val="24"/>
              </w:rPr>
            </w:pPr>
            <w:r>
              <w:rPr>
                <w:rFonts w:hint="eastAsia"/>
                <w:color w:val="000000"/>
                <w:sz w:val="24"/>
              </w:rPr>
              <w:t>个人数据中心（一张表系统）建设</w:t>
            </w:r>
          </w:p>
        </w:tc>
        <w:tc>
          <w:tcPr>
            <w:tcW w:w="1237" w:type="dxa"/>
            <w:vAlign w:val="center"/>
          </w:tcPr>
          <w:p>
            <w:pPr>
              <w:adjustRightInd w:val="0"/>
              <w:snapToGrid w:val="0"/>
              <w:jc w:val="left"/>
              <w:rPr>
                <w:color w:val="000000"/>
                <w:sz w:val="24"/>
              </w:rPr>
            </w:pPr>
          </w:p>
        </w:tc>
        <w:tc>
          <w:tcPr>
            <w:tcW w:w="1235" w:type="dxa"/>
          </w:tcPr>
          <w:p>
            <w:pPr>
              <w:adjustRightInd w:val="0"/>
              <w:snapToGrid w:val="0"/>
              <w:jc w:val="left"/>
              <w:rPr>
                <w:color w:val="000000"/>
                <w:sz w:val="24"/>
              </w:rPr>
            </w:pPr>
          </w:p>
        </w:tc>
        <w:tc>
          <w:tcPr>
            <w:tcW w:w="1235" w:type="dxa"/>
            <w:vAlign w:val="center"/>
          </w:tcPr>
          <w:p>
            <w:pPr>
              <w:adjustRightInd w:val="0"/>
              <w:snapToGrid w:val="0"/>
              <w:jc w:val="left"/>
              <w:rPr>
                <w:color w:val="000000"/>
                <w:sz w:val="24"/>
              </w:rPr>
            </w:pPr>
          </w:p>
        </w:tc>
        <w:tc>
          <w:tcPr>
            <w:tcW w:w="1567"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7" w:type="dxa"/>
            <w:vAlign w:val="center"/>
          </w:tcPr>
          <w:p>
            <w:pPr>
              <w:adjustRightInd w:val="0"/>
              <w:snapToGrid w:val="0"/>
              <w:jc w:val="center"/>
              <w:rPr>
                <w:color w:val="000000"/>
                <w:sz w:val="24"/>
              </w:rPr>
            </w:pPr>
            <w:r>
              <w:rPr>
                <w:color w:val="000000"/>
                <w:sz w:val="24"/>
              </w:rPr>
              <w:t>3</w:t>
            </w:r>
          </w:p>
        </w:tc>
        <w:tc>
          <w:tcPr>
            <w:tcW w:w="2697" w:type="dxa"/>
            <w:vAlign w:val="bottom"/>
          </w:tcPr>
          <w:p>
            <w:pPr>
              <w:spacing w:line="360" w:lineRule="auto"/>
              <w:jc w:val="center"/>
              <w:rPr>
                <w:color w:val="000000"/>
                <w:sz w:val="24"/>
              </w:rPr>
            </w:pPr>
            <w:r>
              <w:rPr>
                <w:rFonts w:hint="eastAsia"/>
                <w:color w:val="000000"/>
                <w:sz w:val="24"/>
              </w:rPr>
              <w:t>一网通办门户</w:t>
            </w:r>
          </w:p>
        </w:tc>
        <w:tc>
          <w:tcPr>
            <w:tcW w:w="1237" w:type="dxa"/>
            <w:vAlign w:val="center"/>
          </w:tcPr>
          <w:p>
            <w:pPr>
              <w:adjustRightInd w:val="0"/>
              <w:snapToGrid w:val="0"/>
              <w:jc w:val="left"/>
              <w:rPr>
                <w:color w:val="000000"/>
                <w:sz w:val="24"/>
              </w:rPr>
            </w:pPr>
          </w:p>
        </w:tc>
        <w:tc>
          <w:tcPr>
            <w:tcW w:w="1235" w:type="dxa"/>
          </w:tcPr>
          <w:p>
            <w:pPr>
              <w:adjustRightInd w:val="0"/>
              <w:snapToGrid w:val="0"/>
              <w:jc w:val="left"/>
              <w:rPr>
                <w:color w:val="000000"/>
                <w:sz w:val="24"/>
              </w:rPr>
            </w:pPr>
          </w:p>
        </w:tc>
        <w:tc>
          <w:tcPr>
            <w:tcW w:w="1235" w:type="dxa"/>
            <w:vAlign w:val="center"/>
          </w:tcPr>
          <w:p>
            <w:pPr>
              <w:adjustRightInd w:val="0"/>
              <w:snapToGrid w:val="0"/>
              <w:jc w:val="left"/>
              <w:rPr>
                <w:color w:val="000000"/>
                <w:sz w:val="24"/>
              </w:rPr>
            </w:pPr>
          </w:p>
        </w:tc>
        <w:tc>
          <w:tcPr>
            <w:tcW w:w="1567"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7" w:type="dxa"/>
            <w:vAlign w:val="center"/>
          </w:tcPr>
          <w:p>
            <w:pPr>
              <w:adjustRightInd w:val="0"/>
              <w:snapToGrid w:val="0"/>
              <w:jc w:val="center"/>
              <w:rPr>
                <w:color w:val="000000"/>
                <w:sz w:val="24"/>
              </w:rPr>
            </w:pPr>
            <w:r>
              <w:rPr>
                <w:rFonts w:hint="eastAsia"/>
                <w:color w:val="000000"/>
                <w:sz w:val="24"/>
              </w:rPr>
              <w:t>4</w:t>
            </w:r>
          </w:p>
        </w:tc>
        <w:tc>
          <w:tcPr>
            <w:tcW w:w="2697" w:type="dxa"/>
            <w:vAlign w:val="bottom"/>
          </w:tcPr>
          <w:p>
            <w:pPr>
              <w:spacing w:line="360" w:lineRule="auto"/>
              <w:jc w:val="center"/>
              <w:rPr>
                <w:color w:val="000000"/>
                <w:sz w:val="24"/>
              </w:rPr>
            </w:pPr>
            <w:r>
              <w:rPr>
                <w:rFonts w:hint="eastAsia"/>
                <w:color w:val="000000"/>
                <w:sz w:val="24"/>
              </w:rPr>
              <w:t>移动校园应用</w:t>
            </w:r>
          </w:p>
        </w:tc>
        <w:tc>
          <w:tcPr>
            <w:tcW w:w="1237" w:type="dxa"/>
            <w:vAlign w:val="center"/>
          </w:tcPr>
          <w:p>
            <w:pPr>
              <w:adjustRightInd w:val="0"/>
              <w:snapToGrid w:val="0"/>
              <w:jc w:val="left"/>
              <w:rPr>
                <w:color w:val="000000"/>
                <w:sz w:val="24"/>
              </w:rPr>
            </w:pPr>
          </w:p>
        </w:tc>
        <w:tc>
          <w:tcPr>
            <w:tcW w:w="1235" w:type="dxa"/>
          </w:tcPr>
          <w:p>
            <w:pPr>
              <w:adjustRightInd w:val="0"/>
              <w:snapToGrid w:val="0"/>
              <w:jc w:val="left"/>
              <w:rPr>
                <w:color w:val="000000"/>
                <w:sz w:val="24"/>
              </w:rPr>
            </w:pPr>
          </w:p>
        </w:tc>
        <w:tc>
          <w:tcPr>
            <w:tcW w:w="1235" w:type="dxa"/>
            <w:vAlign w:val="center"/>
          </w:tcPr>
          <w:p>
            <w:pPr>
              <w:adjustRightInd w:val="0"/>
              <w:snapToGrid w:val="0"/>
              <w:jc w:val="left"/>
              <w:rPr>
                <w:color w:val="000000"/>
                <w:sz w:val="24"/>
              </w:rPr>
            </w:pPr>
          </w:p>
        </w:tc>
        <w:tc>
          <w:tcPr>
            <w:tcW w:w="1567" w:type="dxa"/>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726" w:type="dxa"/>
            <w:gridSpan w:val="4"/>
            <w:vAlign w:val="center"/>
          </w:tcPr>
          <w:p>
            <w:pPr>
              <w:adjustRightInd w:val="0"/>
              <w:snapToGrid w:val="0"/>
              <w:jc w:val="right"/>
              <w:rPr>
                <w:color w:val="000000"/>
                <w:sz w:val="24"/>
              </w:rPr>
            </w:pPr>
            <w:r>
              <w:rPr>
                <w:b/>
                <w:color w:val="000000"/>
                <w:sz w:val="24"/>
              </w:rPr>
              <w:t>总价（元）</w:t>
            </w:r>
          </w:p>
        </w:tc>
        <w:tc>
          <w:tcPr>
            <w:tcW w:w="1235" w:type="dxa"/>
            <w:vAlign w:val="center"/>
          </w:tcPr>
          <w:p>
            <w:pPr>
              <w:adjustRightInd w:val="0"/>
              <w:snapToGrid w:val="0"/>
              <w:jc w:val="left"/>
              <w:rPr>
                <w:color w:val="000000"/>
                <w:sz w:val="24"/>
              </w:rPr>
            </w:pPr>
          </w:p>
        </w:tc>
        <w:tc>
          <w:tcPr>
            <w:tcW w:w="1567" w:type="dxa"/>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tabs>
          <w:tab w:val="left" w:pos="1800"/>
          <w:tab w:val="left" w:pos="5580"/>
        </w:tabs>
        <w:ind w:firstLine="480" w:firstLineChars="200"/>
        <w:jc w:val="left"/>
        <w:rPr>
          <w:color w:val="000000"/>
          <w:sz w:val="24"/>
        </w:rPr>
      </w:pPr>
    </w:p>
    <w:p>
      <w:pPr>
        <w:pStyle w:val="2"/>
        <w:ind w:left="0" w:leftChars="0" w:firstLine="0" w:firstLineChars="0"/>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pStyle w:val="17"/>
        <w:rPr>
          <w:rFonts w:hAnsi="宋体"/>
          <w:sz w:val="24"/>
        </w:rPr>
      </w:pPr>
      <w:r>
        <w:rPr>
          <w:rFonts w:hint="eastAsia" w:hAnsi="宋体"/>
          <w:sz w:val="24"/>
        </w:rPr>
        <w:t>投标人授权代表签字___________________</w:t>
      </w:r>
    </w:p>
    <w:p>
      <w:pPr>
        <w:pStyle w:val="17"/>
        <w:rPr>
          <w:rFonts w:hAnsi="宋体"/>
          <w:sz w:val="24"/>
          <w:u w:val="single"/>
        </w:rPr>
      </w:pPr>
      <w:r>
        <w:rPr>
          <w:rFonts w:hint="eastAsia" w:hAnsi="宋体"/>
          <w:sz w:val="24"/>
        </w:rPr>
        <w:t>投标人(盖章):</w:t>
      </w:r>
      <w:r>
        <w:rPr>
          <w:rFonts w:hAnsi="宋体"/>
          <w:sz w:val="24"/>
          <w:u w:val="single"/>
        </w:rPr>
        <w:tab/>
      </w:r>
      <w:r>
        <w:rPr>
          <w:rFonts w:hint="eastAsia" w:hAnsi="宋体"/>
          <w:sz w:val="24"/>
          <w:u w:val="single"/>
        </w:rPr>
        <w:t xml:space="preserve">                  </w:t>
      </w:r>
      <w:r>
        <w:rPr>
          <w:rFonts w:hAnsi="宋体"/>
          <w:sz w:val="24"/>
          <w:u w:val="single"/>
        </w:rPr>
        <w:tab/>
      </w:r>
    </w:p>
    <w:p>
      <w:pPr>
        <w:pStyle w:val="17"/>
        <w:rPr>
          <w:rFonts w:hAnsi="宋体"/>
          <w:sz w:val="24"/>
        </w:rPr>
      </w:pPr>
    </w:p>
    <w:p>
      <w:pPr>
        <w:pStyle w:val="5"/>
        <w:jc w:val="left"/>
        <w:rPr>
          <w:rFonts w:ascii="宋体" w:hAnsi="宋体" w:eastAsia="宋体"/>
          <w:sz w:val="24"/>
        </w:rPr>
      </w:pPr>
      <w:bookmarkStart w:id="309" w:name="_Toc163893454"/>
      <w:bookmarkStart w:id="310" w:name="_Toc23375"/>
      <w:r>
        <w:rPr>
          <w:rFonts w:hint="eastAsia" w:ascii="宋体" w:hAnsi="宋体" w:eastAsia="宋体"/>
          <w:sz w:val="24"/>
        </w:rPr>
        <w:br w:type="page"/>
      </w:r>
      <w:r>
        <w:rPr>
          <w:rFonts w:hint="eastAsia" w:ascii="宋体" w:hAnsi="宋体" w:eastAsia="宋体"/>
          <w:sz w:val="24"/>
        </w:rPr>
        <w:t>4　　　　采购需求偏离表</w:t>
      </w:r>
      <w:bookmarkEnd w:id="309"/>
      <w:r>
        <w:rPr>
          <w:rFonts w:hint="eastAsia" w:ascii="宋体" w:hAnsi="宋体" w:eastAsia="宋体"/>
          <w:sz w:val="24"/>
        </w:rPr>
        <w:t>（实质性格式）</w:t>
      </w:r>
      <w:bookmarkEnd w:id="310"/>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pPr>
        <w:tabs>
          <w:tab w:val="left" w:pos="1800"/>
          <w:tab w:val="left" w:pos="5580"/>
        </w:tabs>
        <w:spacing w:line="360" w:lineRule="auto"/>
        <w:jc w:val="left"/>
        <w:rPr>
          <w:rFonts w:ascii="宋体" w:hAnsi="宋体"/>
          <w:color w:val="000000"/>
          <w:sz w:val="24"/>
          <w:u w:val="single"/>
        </w:rPr>
      </w:pPr>
      <w:r>
        <w:rPr>
          <w:rFonts w:ascii="宋体" w:hAnsi="宋体"/>
          <w:color w:val="000000"/>
          <w:sz w:val="24"/>
        </w:rPr>
        <w:t>项目编号/包号：_____________________     项目名称：____________</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82" w:type="dxa"/>
            <w:vAlign w:val="center"/>
          </w:tcPr>
          <w:p>
            <w:pPr>
              <w:adjustRightInd w:val="0"/>
              <w:snapToGrid w:val="0"/>
              <w:jc w:val="center"/>
              <w:rPr>
                <w:rFonts w:ascii="宋体" w:hAnsi="宋体"/>
                <w:color w:val="000000"/>
                <w:sz w:val="24"/>
              </w:rPr>
            </w:pPr>
            <w:r>
              <w:rPr>
                <w:rFonts w:ascii="宋体" w:hAnsi="宋体"/>
                <w:color w:val="000000"/>
                <w:sz w:val="24"/>
              </w:rPr>
              <w:t>招标文件</w:t>
            </w:r>
            <w:r>
              <w:rPr>
                <w:rFonts w:hint="eastAsia" w:ascii="宋体" w:hAnsi="宋体"/>
                <w:color w:val="000000"/>
                <w:sz w:val="24"/>
              </w:rPr>
              <w:t>第五章</w:t>
            </w:r>
            <w:r>
              <w:rPr>
                <w:rFonts w:ascii="宋体" w:hAnsi="宋体"/>
                <w:color w:val="000000"/>
                <w:sz w:val="24"/>
              </w:rPr>
              <w:t>条目号(页码)</w:t>
            </w:r>
          </w:p>
        </w:tc>
        <w:tc>
          <w:tcPr>
            <w:tcW w:w="2384" w:type="dxa"/>
            <w:vAlign w:val="center"/>
          </w:tcPr>
          <w:p>
            <w:pPr>
              <w:adjustRightInd w:val="0"/>
              <w:snapToGrid w:val="0"/>
              <w:jc w:val="center"/>
              <w:rPr>
                <w:rFonts w:ascii="宋体" w:hAnsi="宋体"/>
                <w:color w:val="000000"/>
                <w:sz w:val="24"/>
              </w:rPr>
            </w:pPr>
            <w:r>
              <w:rPr>
                <w:rFonts w:ascii="宋体" w:hAnsi="宋体"/>
                <w:color w:val="000000"/>
                <w:sz w:val="24"/>
              </w:rPr>
              <w:t>招标文件要求</w:t>
            </w:r>
          </w:p>
        </w:tc>
        <w:tc>
          <w:tcPr>
            <w:tcW w:w="2126" w:type="dxa"/>
            <w:vAlign w:val="center"/>
          </w:tcPr>
          <w:p>
            <w:pPr>
              <w:adjustRightInd w:val="0"/>
              <w:snapToGrid w:val="0"/>
              <w:jc w:val="center"/>
              <w:rPr>
                <w:rFonts w:ascii="宋体" w:hAnsi="宋体"/>
                <w:color w:val="000000"/>
                <w:sz w:val="24"/>
              </w:rPr>
            </w:pPr>
            <w:r>
              <w:rPr>
                <w:rFonts w:ascii="宋体" w:hAnsi="宋体"/>
                <w:color w:val="000000"/>
                <w:sz w:val="24"/>
              </w:rPr>
              <w:t>投标响应内容</w:t>
            </w:r>
          </w:p>
        </w:tc>
        <w:tc>
          <w:tcPr>
            <w:tcW w:w="1875" w:type="dxa"/>
            <w:vAlign w:val="center"/>
          </w:tcPr>
          <w:p>
            <w:pPr>
              <w:adjustRightInd w:val="0"/>
              <w:snapToGrid w:val="0"/>
              <w:jc w:val="center"/>
              <w:rPr>
                <w:rFonts w:ascii="宋体" w:hAnsi="宋体"/>
                <w:color w:val="000000"/>
                <w:sz w:val="24"/>
              </w:rPr>
            </w:pPr>
            <w:r>
              <w:rPr>
                <w:rFonts w:ascii="宋体" w:hAnsi="宋体"/>
                <w:color w:val="000000"/>
                <w:sz w:val="24"/>
              </w:rPr>
              <w:t>偏离情况</w:t>
            </w:r>
          </w:p>
        </w:tc>
        <w:tc>
          <w:tcPr>
            <w:tcW w:w="1009" w:type="dxa"/>
            <w:vAlign w:val="center"/>
          </w:tcPr>
          <w:p>
            <w:pPr>
              <w:adjustRightInd w:val="0"/>
              <w:snapToGrid w:val="0"/>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82" w:type="dxa"/>
            <w:vAlign w:val="center"/>
          </w:tcPr>
          <w:p>
            <w:pPr>
              <w:adjustRightInd w:val="0"/>
              <w:snapToGrid w:val="0"/>
              <w:jc w:val="center"/>
              <w:rPr>
                <w:rFonts w:ascii="宋体" w:hAnsi="宋体"/>
                <w:color w:val="000000"/>
                <w:sz w:val="24"/>
              </w:rPr>
            </w:pPr>
          </w:p>
        </w:tc>
        <w:tc>
          <w:tcPr>
            <w:tcW w:w="2384" w:type="dxa"/>
            <w:vAlign w:val="center"/>
          </w:tcPr>
          <w:p>
            <w:pPr>
              <w:adjustRightInd w:val="0"/>
              <w:snapToGrid w:val="0"/>
              <w:jc w:val="center"/>
              <w:rPr>
                <w:rFonts w:ascii="宋体" w:hAnsi="宋体"/>
                <w:color w:val="000000"/>
                <w:sz w:val="24"/>
              </w:rPr>
            </w:pPr>
          </w:p>
        </w:tc>
        <w:tc>
          <w:tcPr>
            <w:tcW w:w="2126" w:type="dxa"/>
            <w:vAlign w:val="center"/>
          </w:tcPr>
          <w:p>
            <w:pPr>
              <w:adjustRightInd w:val="0"/>
              <w:snapToGrid w:val="0"/>
              <w:jc w:val="center"/>
              <w:rPr>
                <w:rFonts w:ascii="宋体" w:hAnsi="宋体"/>
                <w:color w:val="000000"/>
                <w:sz w:val="24"/>
              </w:rPr>
            </w:pPr>
          </w:p>
        </w:tc>
        <w:tc>
          <w:tcPr>
            <w:tcW w:w="1875" w:type="dxa"/>
            <w:vAlign w:val="center"/>
          </w:tcPr>
          <w:p>
            <w:pPr>
              <w:adjustRightInd w:val="0"/>
              <w:snapToGrid w:val="0"/>
              <w:jc w:val="center"/>
              <w:rPr>
                <w:rFonts w:ascii="宋体" w:hAnsi="宋体"/>
                <w:color w:val="000000"/>
                <w:sz w:val="24"/>
              </w:rPr>
            </w:pPr>
          </w:p>
        </w:tc>
        <w:tc>
          <w:tcPr>
            <w:tcW w:w="1009" w:type="dxa"/>
            <w:vAlign w:val="center"/>
          </w:tcPr>
          <w:p>
            <w:pPr>
              <w:adjustRightInd w:val="0"/>
              <w:snapToGrid w:val="0"/>
              <w:jc w:val="center"/>
              <w:rPr>
                <w:rFonts w:ascii="宋体" w:hAnsi="宋体"/>
                <w:color w:val="000000"/>
                <w:sz w:val="24"/>
              </w:rPr>
            </w:pPr>
          </w:p>
        </w:tc>
      </w:tr>
    </w:tbl>
    <w:p>
      <w:pPr>
        <w:tabs>
          <w:tab w:val="left" w:pos="1800"/>
          <w:tab w:val="left" w:pos="5580"/>
        </w:tabs>
        <w:jc w:val="left"/>
        <w:rPr>
          <w:rFonts w:ascii="宋体" w:hAnsi="宋体"/>
          <w:color w:val="000000"/>
          <w:sz w:val="24"/>
        </w:rPr>
      </w:pPr>
      <w:r>
        <w:rPr>
          <w:rFonts w:ascii="宋体" w:hAnsi="宋体"/>
          <w:color w:val="000000"/>
          <w:sz w:val="24"/>
        </w:rPr>
        <w:t>注：</w:t>
      </w:r>
    </w:p>
    <w:p>
      <w:pPr>
        <w:tabs>
          <w:tab w:val="left" w:pos="1800"/>
          <w:tab w:val="left" w:pos="5580"/>
        </w:tabs>
        <w:spacing w:line="360" w:lineRule="auto"/>
        <w:jc w:val="left"/>
      </w:pPr>
      <w:r>
        <w:rPr>
          <w:rFonts w:hint="eastAsia" w:ascii="宋体" w:hAnsi="宋体"/>
          <w:b/>
          <w:bCs/>
          <w:sz w:val="24"/>
        </w:rPr>
        <w:t>1.投标人应在本表中对招标文件第五章采购需求的内容进行逐项应答，需在引用招标文件要求的基础上,进行逐条逐项答复、说明或解释。</w:t>
      </w:r>
    </w:p>
    <w:p>
      <w:pPr>
        <w:tabs>
          <w:tab w:val="left" w:pos="1800"/>
          <w:tab w:val="left" w:pos="5580"/>
        </w:tabs>
        <w:spacing w:line="360" w:lineRule="auto"/>
        <w:jc w:val="left"/>
        <w:rPr>
          <w:rFonts w:ascii="宋体" w:hAnsi="宋体"/>
          <w:sz w:val="24"/>
        </w:rPr>
      </w:pPr>
      <w:r>
        <w:rPr>
          <w:rFonts w:hint="eastAsia" w:ascii="宋体" w:hAnsi="宋体"/>
          <w:sz w:val="24"/>
        </w:rPr>
        <w:t>2.</w:t>
      </w:r>
      <w:r>
        <w:rPr>
          <w:rFonts w:ascii="宋体" w:hAnsi="宋体"/>
          <w:sz w:val="24"/>
        </w:rPr>
        <w:t>对招标文件中的所有商务、技术要求，除本表所列明的所有偏离外，均视作供应商已对之理解和</w:t>
      </w:r>
      <w:r>
        <w:rPr>
          <w:rFonts w:hint="eastAsia" w:ascii="宋体" w:hAnsi="宋体"/>
          <w:sz w:val="24"/>
        </w:rPr>
        <w:t>响应</w:t>
      </w:r>
      <w:r>
        <w:rPr>
          <w:rFonts w:ascii="宋体" w:hAnsi="宋体"/>
          <w:sz w:val="24"/>
        </w:rPr>
        <w:t>。</w:t>
      </w:r>
      <w:r>
        <w:rPr>
          <w:rFonts w:hint="eastAsia" w:ascii="宋体" w:hAnsi="宋体"/>
          <w:sz w:val="24"/>
        </w:rPr>
        <w:t>此表中若无任何文字说明，内容为空白，</w:t>
      </w:r>
      <w:r>
        <w:rPr>
          <w:rFonts w:hint="eastAsia" w:ascii="宋体" w:hAnsi="宋体"/>
          <w:b/>
          <w:sz w:val="24"/>
        </w:rPr>
        <w:t>投标无效。</w:t>
      </w:r>
    </w:p>
    <w:p>
      <w:pPr>
        <w:tabs>
          <w:tab w:val="left" w:pos="1800"/>
          <w:tab w:val="left" w:pos="5580"/>
        </w:tabs>
        <w:spacing w:line="360" w:lineRule="auto"/>
        <w:jc w:val="left"/>
        <w:rPr>
          <w:rFonts w:ascii="宋体" w:hAnsi="宋体"/>
          <w:sz w:val="24"/>
        </w:rPr>
      </w:pPr>
      <w:r>
        <w:rPr>
          <w:rFonts w:hint="eastAsia" w:ascii="宋体" w:hAnsi="宋体"/>
          <w:sz w:val="24"/>
        </w:rPr>
        <w:t>3</w:t>
      </w:r>
      <w:r>
        <w:rPr>
          <w:rFonts w:ascii="宋体" w:hAnsi="宋体"/>
          <w:sz w:val="24"/>
        </w:rPr>
        <w:t>.</w:t>
      </w:r>
      <w:r>
        <w:rPr>
          <w:rFonts w:hint="eastAsia"/>
        </w:rPr>
        <w:t xml:space="preserve"> </w:t>
      </w:r>
      <w:r>
        <w:rPr>
          <w:rFonts w:hint="eastAsia" w:ascii="宋体" w:hAnsi="宋体"/>
          <w:sz w:val="24"/>
        </w:rPr>
        <w:t>投标人的技术偏差必须如实填写，并应对偏差情况做出必要说明。投标人应对故意隐瞒技术偏差的行为承担责任。对招标文件有任何偏离应在“偏离情况”列明“正偏离”或“负偏离”， 对招标文件无偏离应标明“响应”或“无偏离”。</w:t>
      </w:r>
    </w:p>
    <w:p>
      <w:pPr>
        <w:tabs>
          <w:tab w:val="left" w:pos="1800"/>
          <w:tab w:val="left" w:pos="5580"/>
        </w:tabs>
        <w:spacing w:line="360" w:lineRule="auto"/>
        <w:jc w:val="left"/>
        <w:rPr>
          <w:rFonts w:hAnsi="宋体"/>
          <w:sz w:val="24"/>
        </w:rPr>
      </w:pPr>
      <w:r>
        <w:rPr>
          <w:rFonts w:hint="eastAsia"/>
        </w:rPr>
        <w:t xml:space="preserve"> </w:t>
      </w:r>
    </w:p>
    <w:p>
      <w:pPr>
        <w:pStyle w:val="17"/>
        <w:rPr>
          <w:rFonts w:hAnsi="宋体"/>
          <w:sz w:val="24"/>
        </w:rPr>
      </w:pPr>
      <w:r>
        <w:rPr>
          <w:rFonts w:hint="eastAsia" w:hAnsi="宋体"/>
          <w:sz w:val="24"/>
        </w:rPr>
        <w:t>投标人授权代表签字：____________________</w:t>
      </w:r>
    </w:p>
    <w:p>
      <w:pPr>
        <w:pStyle w:val="17"/>
        <w:tabs>
          <w:tab w:val="left" w:pos="5580"/>
        </w:tabs>
        <w:spacing w:before="120" w:line="22" w:lineRule="atLeast"/>
        <w:rPr>
          <w:rFonts w:hAnsi="宋体"/>
          <w:sz w:val="24"/>
          <w:u w:val="single"/>
        </w:rPr>
      </w:pPr>
      <w:r>
        <w:rPr>
          <w:rFonts w:hint="eastAsia" w:hAnsi="宋体"/>
          <w:sz w:val="24"/>
        </w:rPr>
        <w:t>投标人(盖章):</w:t>
      </w:r>
      <w:r>
        <w:rPr>
          <w:rFonts w:hAnsi="宋体"/>
          <w:sz w:val="24"/>
          <w:u w:val="single"/>
        </w:rPr>
        <w:tab/>
      </w:r>
      <w:r>
        <w:rPr>
          <w:rFonts w:hAnsi="宋体"/>
          <w:sz w:val="24"/>
          <w:u w:val="single"/>
        </w:rPr>
        <w:tab/>
      </w:r>
    </w:p>
    <w:p>
      <w:pPr>
        <w:pStyle w:val="17"/>
        <w:rPr>
          <w:rFonts w:hAnsi="宋体"/>
          <w:sz w:val="24"/>
        </w:rPr>
      </w:pPr>
    </w:p>
    <w:p>
      <w:pPr>
        <w:pStyle w:val="5"/>
        <w:jc w:val="both"/>
        <w:rPr>
          <w:rFonts w:ascii="宋体" w:hAnsi="宋体" w:eastAsia="宋体"/>
          <w:sz w:val="24"/>
        </w:rPr>
      </w:pPr>
      <w:r>
        <w:rPr>
          <w:rFonts w:ascii="宋体" w:hAnsi="宋体" w:eastAsia="宋体"/>
          <w:sz w:val="24"/>
        </w:rPr>
        <w:br w:type="page"/>
      </w:r>
      <w:bookmarkStart w:id="311" w:name="_Toc163893455"/>
      <w:bookmarkStart w:id="312" w:name="_Toc28358"/>
      <w:r>
        <w:rPr>
          <w:rFonts w:hint="eastAsia" w:ascii="宋体" w:hAnsi="宋体" w:eastAsia="宋体"/>
          <w:sz w:val="24"/>
        </w:rPr>
        <w:t>5　　　　合同条款偏离表</w:t>
      </w:r>
      <w:bookmarkEnd w:id="311"/>
      <w:r>
        <w:rPr>
          <w:rFonts w:hint="eastAsia" w:ascii="宋体" w:hAnsi="宋体" w:eastAsia="宋体"/>
          <w:sz w:val="24"/>
        </w:rPr>
        <w:t>（实质性格式）</w:t>
      </w:r>
      <w:bookmarkEnd w:id="312"/>
    </w:p>
    <w:p>
      <w:pPr>
        <w:pStyle w:val="17"/>
        <w:rPr>
          <w:rFonts w:hAnsi="宋体"/>
          <w:sz w:val="24"/>
        </w:rPr>
      </w:pPr>
    </w:p>
    <w:p>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合同条款偏离表</w:t>
      </w:r>
    </w:p>
    <w:p>
      <w:pPr>
        <w:spacing w:line="360" w:lineRule="auto"/>
        <w:rPr>
          <w:rFonts w:ascii="宋体" w:hAnsi="宋体"/>
          <w:color w:val="000000"/>
          <w:sz w:val="24"/>
          <w:szCs w:val="20"/>
        </w:rPr>
      </w:pPr>
    </w:p>
    <w:p>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9"/>
        <w:gridCol w:w="1797"/>
        <w:gridCol w:w="1798"/>
        <w:gridCol w:w="2187"/>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528" w:type="dxa"/>
            <w:gridSpan w:val="6"/>
            <w:vAlign w:val="center"/>
          </w:tcPr>
          <w:p>
            <w:pPr>
              <w:adjustRightInd w:val="0"/>
              <w:snapToGrid w:val="0"/>
              <w:jc w:val="left"/>
              <w:rPr>
                <w:rFonts w:ascii="宋体" w:hAnsi="宋体"/>
                <w:b/>
                <w:sz w:val="24"/>
              </w:rPr>
            </w:pPr>
            <w:r>
              <w:rPr>
                <w:rFonts w:ascii="宋体" w:hAnsi="宋体"/>
                <w:b/>
                <w:sz w:val="24"/>
              </w:rPr>
              <w:t>对本</w:t>
            </w:r>
            <w:r>
              <w:rPr>
                <w:rFonts w:hint="eastAsia" w:ascii="宋体" w:hAnsi="宋体"/>
                <w:b/>
                <w:sz w:val="24"/>
              </w:rPr>
              <w:t>项目</w:t>
            </w:r>
            <w:r>
              <w:rPr>
                <w:rFonts w:ascii="宋体" w:hAnsi="宋体"/>
                <w:b/>
                <w:sz w:val="24"/>
              </w:rPr>
              <w:t>合同条款的偏离情况（请进行勾选）：</w:t>
            </w:r>
          </w:p>
          <w:p>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hint="eastAsia" w:ascii="宋体" w:hAnsi="宋体"/>
                <w:sz w:val="24"/>
              </w:rPr>
              <w:t>应</w:t>
            </w:r>
            <w:r>
              <w:rPr>
                <w:rFonts w:ascii="宋体" w:hAnsi="宋体"/>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vAlign w:val="center"/>
          </w:tcPr>
          <w:p>
            <w:pPr>
              <w:adjustRightInd w:val="0"/>
              <w:snapToGrid w:val="0"/>
              <w:jc w:val="center"/>
              <w:rPr>
                <w:rFonts w:ascii="宋体" w:hAnsi="宋体"/>
                <w:color w:val="000000"/>
                <w:sz w:val="24"/>
              </w:rPr>
            </w:pPr>
            <w:r>
              <w:rPr>
                <w:rFonts w:ascii="宋体" w:hAnsi="宋体"/>
                <w:color w:val="000000"/>
                <w:sz w:val="24"/>
              </w:rPr>
              <w:t>序号</w:t>
            </w:r>
          </w:p>
        </w:tc>
        <w:tc>
          <w:tcPr>
            <w:tcW w:w="1219" w:type="dxa"/>
            <w:vAlign w:val="center"/>
          </w:tcPr>
          <w:p>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1797" w:type="dxa"/>
            <w:vAlign w:val="center"/>
          </w:tcPr>
          <w:p>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1798" w:type="dxa"/>
            <w:vAlign w:val="center"/>
          </w:tcPr>
          <w:p>
            <w:pPr>
              <w:adjustRightInd w:val="0"/>
              <w:snapToGrid w:val="0"/>
              <w:jc w:val="center"/>
              <w:rPr>
                <w:rFonts w:ascii="宋体" w:hAnsi="宋体"/>
                <w:color w:val="000000"/>
                <w:sz w:val="24"/>
              </w:rPr>
            </w:pPr>
            <w:r>
              <w:rPr>
                <w:rFonts w:ascii="宋体" w:hAnsi="宋体"/>
                <w:color w:val="000000"/>
                <w:sz w:val="24"/>
              </w:rPr>
              <w:t>投标文件内容</w:t>
            </w:r>
          </w:p>
        </w:tc>
        <w:tc>
          <w:tcPr>
            <w:tcW w:w="2187" w:type="dxa"/>
            <w:vAlign w:val="center"/>
          </w:tcPr>
          <w:p>
            <w:pPr>
              <w:adjustRightInd w:val="0"/>
              <w:snapToGrid w:val="0"/>
              <w:jc w:val="center"/>
              <w:rPr>
                <w:rFonts w:ascii="宋体" w:hAnsi="宋体"/>
                <w:color w:val="000000"/>
                <w:sz w:val="24"/>
              </w:rPr>
            </w:pPr>
            <w:r>
              <w:rPr>
                <w:rFonts w:ascii="宋体" w:hAnsi="宋体"/>
                <w:color w:val="000000"/>
                <w:sz w:val="24"/>
              </w:rPr>
              <w:t>偏离情况</w:t>
            </w:r>
          </w:p>
        </w:tc>
        <w:tc>
          <w:tcPr>
            <w:tcW w:w="744" w:type="dxa"/>
            <w:vAlign w:val="center"/>
          </w:tcPr>
          <w:p>
            <w:pPr>
              <w:adjustRightInd w:val="0"/>
              <w:snapToGrid w:val="0"/>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vAlign w:val="center"/>
          </w:tcPr>
          <w:p>
            <w:pPr>
              <w:adjustRightInd w:val="0"/>
              <w:snapToGrid w:val="0"/>
              <w:jc w:val="center"/>
              <w:rPr>
                <w:rFonts w:ascii="宋体" w:hAnsi="宋体"/>
                <w:color w:val="000000"/>
                <w:sz w:val="24"/>
              </w:rPr>
            </w:pPr>
          </w:p>
        </w:tc>
        <w:tc>
          <w:tcPr>
            <w:tcW w:w="1219" w:type="dxa"/>
            <w:vAlign w:val="center"/>
          </w:tcPr>
          <w:p>
            <w:pPr>
              <w:adjustRightInd w:val="0"/>
              <w:snapToGrid w:val="0"/>
              <w:jc w:val="center"/>
              <w:rPr>
                <w:rFonts w:ascii="宋体" w:hAnsi="宋体"/>
                <w:color w:val="000000"/>
                <w:sz w:val="24"/>
              </w:rPr>
            </w:pPr>
          </w:p>
        </w:tc>
        <w:tc>
          <w:tcPr>
            <w:tcW w:w="1797" w:type="dxa"/>
            <w:vAlign w:val="center"/>
          </w:tcPr>
          <w:p>
            <w:pPr>
              <w:adjustRightInd w:val="0"/>
              <w:snapToGrid w:val="0"/>
              <w:jc w:val="center"/>
              <w:rPr>
                <w:rFonts w:ascii="宋体" w:hAnsi="宋体"/>
                <w:color w:val="000000"/>
                <w:sz w:val="24"/>
              </w:rPr>
            </w:pPr>
          </w:p>
        </w:tc>
        <w:tc>
          <w:tcPr>
            <w:tcW w:w="1798" w:type="dxa"/>
            <w:vAlign w:val="center"/>
          </w:tcPr>
          <w:p>
            <w:pPr>
              <w:adjustRightInd w:val="0"/>
              <w:snapToGrid w:val="0"/>
              <w:jc w:val="center"/>
              <w:rPr>
                <w:rFonts w:ascii="宋体" w:hAnsi="宋体"/>
                <w:color w:val="000000"/>
                <w:sz w:val="24"/>
              </w:rPr>
            </w:pPr>
          </w:p>
        </w:tc>
        <w:tc>
          <w:tcPr>
            <w:tcW w:w="2187" w:type="dxa"/>
            <w:vAlign w:val="center"/>
          </w:tcPr>
          <w:p>
            <w:pPr>
              <w:adjustRightInd w:val="0"/>
              <w:snapToGrid w:val="0"/>
              <w:jc w:val="center"/>
              <w:rPr>
                <w:rFonts w:ascii="宋体" w:hAnsi="宋体"/>
                <w:color w:val="000000"/>
                <w:sz w:val="24"/>
              </w:rPr>
            </w:pPr>
          </w:p>
        </w:tc>
        <w:tc>
          <w:tcPr>
            <w:tcW w:w="74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vAlign w:val="center"/>
          </w:tcPr>
          <w:p>
            <w:pPr>
              <w:adjustRightInd w:val="0"/>
              <w:snapToGrid w:val="0"/>
              <w:jc w:val="center"/>
              <w:rPr>
                <w:rFonts w:ascii="宋体" w:hAnsi="宋体"/>
                <w:color w:val="000000"/>
                <w:sz w:val="24"/>
              </w:rPr>
            </w:pPr>
          </w:p>
        </w:tc>
        <w:tc>
          <w:tcPr>
            <w:tcW w:w="1219" w:type="dxa"/>
            <w:vAlign w:val="center"/>
          </w:tcPr>
          <w:p>
            <w:pPr>
              <w:adjustRightInd w:val="0"/>
              <w:snapToGrid w:val="0"/>
              <w:jc w:val="center"/>
              <w:rPr>
                <w:rFonts w:ascii="宋体" w:hAnsi="宋体"/>
                <w:color w:val="000000"/>
                <w:sz w:val="24"/>
              </w:rPr>
            </w:pPr>
          </w:p>
        </w:tc>
        <w:tc>
          <w:tcPr>
            <w:tcW w:w="1797" w:type="dxa"/>
            <w:vAlign w:val="center"/>
          </w:tcPr>
          <w:p>
            <w:pPr>
              <w:adjustRightInd w:val="0"/>
              <w:snapToGrid w:val="0"/>
              <w:jc w:val="center"/>
              <w:rPr>
                <w:rFonts w:ascii="宋体" w:hAnsi="宋体"/>
                <w:color w:val="000000"/>
                <w:sz w:val="24"/>
              </w:rPr>
            </w:pPr>
          </w:p>
        </w:tc>
        <w:tc>
          <w:tcPr>
            <w:tcW w:w="1798" w:type="dxa"/>
            <w:vAlign w:val="center"/>
          </w:tcPr>
          <w:p>
            <w:pPr>
              <w:adjustRightInd w:val="0"/>
              <w:snapToGrid w:val="0"/>
              <w:jc w:val="center"/>
              <w:rPr>
                <w:rFonts w:ascii="宋体" w:hAnsi="宋体"/>
                <w:color w:val="000000"/>
                <w:sz w:val="24"/>
              </w:rPr>
            </w:pPr>
          </w:p>
        </w:tc>
        <w:tc>
          <w:tcPr>
            <w:tcW w:w="2187" w:type="dxa"/>
            <w:vAlign w:val="center"/>
          </w:tcPr>
          <w:p>
            <w:pPr>
              <w:adjustRightInd w:val="0"/>
              <w:snapToGrid w:val="0"/>
              <w:jc w:val="center"/>
              <w:rPr>
                <w:rFonts w:ascii="宋体" w:hAnsi="宋体"/>
                <w:color w:val="000000"/>
                <w:sz w:val="24"/>
              </w:rPr>
            </w:pPr>
          </w:p>
        </w:tc>
        <w:tc>
          <w:tcPr>
            <w:tcW w:w="74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vAlign w:val="center"/>
          </w:tcPr>
          <w:p>
            <w:pPr>
              <w:adjustRightInd w:val="0"/>
              <w:snapToGrid w:val="0"/>
              <w:jc w:val="center"/>
              <w:rPr>
                <w:rFonts w:ascii="宋体" w:hAnsi="宋体"/>
                <w:color w:val="000000"/>
                <w:sz w:val="24"/>
              </w:rPr>
            </w:pPr>
          </w:p>
        </w:tc>
        <w:tc>
          <w:tcPr>
            <w:tcW w:w="1219" w:type="dxa"/>
            <w:vAlign w:val="center"/>
          </w:tcPr>
          <w:p>
            <w:pPr>
              <w:adjustRightInd w:val="0"/>
              <w:snapToGrid w:val="0"/>
              <w:jc w:val="center"/>
              <w:rPr>
                <w:rFonts w:ascii="宋体" w:hAnsi="宋体"/>
                <w:color w:val="000000"/>
                <w:sz w:val="24"/>
              </w:rPr>
            </w:pPr>
          </w:p>
        </w:tc>
        <w:tc>
          <w:tcPr>
            <w:tcW w:w="1797" w:type="dxa"/>
            <w:vAlign w:val="center"/>
          </w:tcPr>
          <w:p>
            <w:pPr>
              <w:adjustRightInd w:val="0"/>
              <w:snapToGrid w:val="0"/>
              <w:jc w:val="center"/>
              <w:rPr>
                <w:rFonts w:ascii="宋体" w:hAnsi="宋体"/>
                <w:color w:val="000000"/>
                <w:sz w:val="24"/>
              </w:rPr>
            </w:pPr>
          </w:p>
        </w:tc>
        <w:tc>
          <w:tcPr>
            <w:tcW w:w="1798" w:type="dxa"/>
            <w:vAlign w:val="center"/>
          </w:tcPr>
          <w:p>
            <w:pPr>
              <w:adjustRightInd w:val="0"/>
              <w:snapToGrid w:val="0"/>
              <w:jc w:val="center"/>
              <w:rPr>
                <w:rFonts w:ascii="宋体" w:hAnsi="宋体"/>
                <w:color w:val="000000"/>
                <w:sz w:val="24"/>
              </w:rPr>
            </w:pPr>
          </w:p>
        </w:tc>
        <w:tc>
          <w:tcPr>
            <w:tcW w:w="2187" w:type="dxa"/>
            <w:vAlign w:val="center"/>
          </w:tcPr>
          <w:p>
            <w:pPr>
              <w:adjustRightInd w:val="0"/>
              <w:snapToGrid w:val="0"/>
              <w:jc w:val="center"/>
              <w:rPr>
                <w:rFonts w:ascii="宋体" w:hAnsi="宋体"/>
                <w:color w:val="000000"/>
                <w:sz w:val="24"/>
              </w:rPr>
            </w:pPr>
          </w:p>
        </w:tc>
        <w:tc>
          <w:tcPr>
            <w:tcW w:w="744" w:type="dxa"/>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3" w:type="dxa"/>
            <w:vAlign w:val="center"/>
          </w:tcPr>
          <w:p>
            <w:pPr>
              <w:adjustRightInd w:val="0"/>
              <w:snapToGrid w:val="0"/>
              <w:jc w:val="center"/>
              <w:rPr>
                <w:rFonts w:ascii="宋体" w:hAnsi="宋体"/>
                <w:color w:val="000000"/>
                <w:sz w:val="24"/>
              </w:rPr>
            </w:pPr>
          </w:p>
        </w:tc>
        <w:tc>
          <w:tcPr>
            <w:tcW w:w="1219" w:type="dxa"/>
            <w:vAlign w:val="center"/>
          </w:tcPr>
          <w:p>
            <w:pPr>
              <w:adjustRightInd w:val="0"/>
              <w:snapToGrid w:val="0"/>
              <w:jc w:val="center"/>
              <w:rPr>
                <w:rFonts w:ascii="宋体" w:hAnsi="宋体"/>
                <w:color w:val="000000"/>
                <w:sz w:val="24"/>
              </w:rPr>
            </w:pPr>
          </w:p>
        </w:tc>
        <w:tc>
          <w:tcPr>
            <w:tcW w:w="1797" w:type="dxa"/>
            <w:vAlign w:val="center"/>
          </w:tcPr>
          <w:p>
            <w:pPr>
              <w:adjustRightInd w:val="0"/>
              <w:snapToGrid w:val="0"/>
              <w:jc w:val="center"/>
              <w:rPr>
                <w:rFonts w:ascii="宋体" w:hAnsi="宋体"/>
                <w:color w:val="000000"/>
                <w:sz w:val="24"/>
              </w:rPr>
            </w:pPr>
          </w:p>
        </w:tc>
        <w:tc>
          <w:tcPr>
            <w:tcW w:w="1798" w:type="dxa"/>
            <w:vAlign w:val="center"/>
          </w:tcPr>
          <w:p>
            <w:pPr>
              <w:adjustRightInd w:val="0"/>
              <w:snapToGrid w:val="0"/>
              <w:jc w:val="center"/>
              <w:rPr>
                <w:rFonts w:ascii="宋体" w:hAnsi="宋体"/>
                <w:color w:val="000000"/>
                <w:sz w:val="24"/>
              </w:rPr>
            </w:pPr>
          </w:p>
        </w:tc>
        <w:tc>
          <w:tcPr>
            <w:tcW w:w="2187" w:type="dxa"/>
            <w:vAlign w:val="center"/>
          </w:tcPr>
          <w:p>
            <w:pPr>
              <w:adjustRightInd w:val="0"/>
              <w:snapToGrid w:val="0"/>
              <w:jc w:val="center"/>
              <w:rPr>
                <w:rFonts w:ascii="宋体" w:hAnsi="宋体"/>
                <w:color w:val="000000"/>
                <w:sz w:val="24"/>
              </w:rPr>
            </w:pPr>
          </w:p>
        </w:tc>
        <w:tc>
          <w:tcPr>
            <w:tcW w:w="744" w:type="dxa"/>
            <w:vAlign w:val="center"/>
          </w:tcPr>
          <w:p>
            <w:pPr>
              <w:adjustRightInd w:val="0"/>
              <w:snapToGrid w:val="0"/>
              <w:jc w:val="center"/>
              <w:rPr>
                <w:rFonts w:ascii="宋体" w:hAnsi="宋体"/>
                <w:color w:val="000000"/>
                <w:sz w:val="24"/>
              </w:rPr>
            </w:pPr>
          </w:p>
        </w:tc>
      </w:tr>
    </w:tbl>
    <w:p>
      <w:pPr>
        <w:tabs>
          <w:tab w:val="left" w:pos="1800"/>
          <w:tab w:val="left" w:pos="5580"/>
        </w:tabs>
        <w:jc w:val="left"/>
        <w:rPr>
          <w:rFonts w:ascii="宋体" w:hAnsi="宋体"/>
          <w:color w:val="000000"/>
          <w:sz w:val="24"/>
        </w:rPr>
      </w:pPr>
    </w:p>
    <w:p>
      <w:pPr>
        <w:tabs>
          <w:tab w:val="left" w:pos="1800"/>
          <w:tab w:val="left" w:pos="5580"/>
        </w:tabs>
        <w:jc w:val="left"/>
        <w:rPr>
          <w:rFonts w:ascii="宋体" w:hAnsi="宋体"/>
          <w:color w:val="000000"/>
          <w:sz w:val="24"/>
        </w:rPr>
      </w:pPr>
      <w:r>
        <w:rPr>
          <w:rFonts w:ascii="宋体" w:hAnsi="宋体"/>
          <w:color w:val="000000"/>
          <w:sz w:val="24"/>
        </w:rPr>
        <w:t>注：</w:t>
      </w:r>
    </w:p>
    <w:p>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hint="eastAsia" w:ascii="宋体" w:hAnsi="宋体"/>
          <w:sz w:val="24"/>
        </w:rPr>
        <w:t>响应</w:t>
      </w:r>
      <w:r>
        <w:rPr>
          <w:rFonts w:ascii="宋体" w:hAnsi="宋体"/>
          <w:sz w:val="24"/>
        </w:rPr>
        <w:t>。</w:t>
      </w:r>
    </w:p>
    <w:p>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pPr>
        <w:pStyle w:val="17"/>
        <w:rPr>
          <w:rFonts w:hAnsi="宋体"/>
          <w:sz w:val="24"/>
        </w:rPr>
      </w:pPr>
    </w:p>
    <w:p>
      <w:pPr>
        <w:pStyle w:val="17"/>
        <w:rPr>
          <w:rFonts w:hAnsi="宋体"/>
          <w:sz w:val="24"/>
        </w:rPr>
      </w:pPr>
    </w:p>
    <w:p>
      <w:pPr>
        <w:pStyle w:val="17"/>
        <w:rPr>
          <w:rFonts w:hAnsi="宋体"/>
          <w:sz w:val="24"/>
        </w:rPr>
      </w:pPr>
    </w:p>
    <w:p>
      <w:pPr>
        <w:pStyle w:val="17"/>
        <w:rPr>
          <w:rFonts w:hAnsi="宋体"/>
          <w:sz w:val="24"/>
        </w:rPr>
      </w:pPr>
      <w:r>
        <w:rPr>
          <w:rFonts w:hint="eastAsia" w:hAnsi="宋体"/>
          <w:sz w:val="24"/>
        </w:rPr>
        <w:t>投标人授权代表签字：____________________________</w:t>
      </w:r>
    </w:p>
    <w:p>
      <w:pPr>
        <w:pStyle w:val="17"/>
        <w:rPr>
          <w:rFonts w:hAnsi="宋体"/>
          <w:sz w:val="24"/>
        </w:rPr>
      </w:pPr>
    </w:p>
    <w:p>
      <w:pPr>
        <w:pStyle w:val="17"/>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pPr>
        <w:pStyle w:val="5"/>
        <w:spacing w:line="360" w:lineRule="auto"/>
        <w:jc w:val="left"/>
        <w:rPr>
          <w:rFonts w:ascii="宋体" w:hAnsi="宋体" w:eastAsia="宋体"/>
          <w:sz w:val="24"/>
        </w:rPr>
      </w:pPr>
      <w:r>
        <w:rPr>
          <w:rFonts w:hint="eastAsia" w:ascii="宋体" w:hAnsi="宋体" w:eastAsia="宋体"/>
          <w:sz w:val="24"/>
        </w:rPr>
        <w:t xml:space="preserve"> </w:t>
      </w:r>
      <w:r>
        <w:rPr>
          <w:rFonts w:ascii="宋体" w:hAnsi="宋体" w:eastAsia="宋体"/>
          <w:sz w:val="24"/>
        </w:rPr>
        <w:br w:type="page"/>
      </w:r>
      <w:bookmarkStart w:id="313" w:name="_Toc520356224"/>
      <w:bookmarkStart w:id="314" w:name="_Ref467988543"/>
      <w:bookmarkStart w:id="315" w:name="_Toc163893456"/>
      <w:bookmarkStart w:id="316" w:name="_Toc480942355"/>
      <w:bookmarkStart w:id="317" w:name="_Toc135539136"/>
      <w:bookmarkStart w:id="318" w:name="_Toc163893457"/>
      <w:bookmarkStart w:id="319" w:name="_Toc8209"/>
      <w:r>
        <w:rPr>
          <w:rFonts w:hint="eastAsia" w:ascii="宋体" w:hAnsi="宋体" w:eastAsia="宋体"/>
          <w:sz w:val="24"/>
        </w:rPr>
        <w:t>6　　　　资格证明文件</w:t>
      </w:r>
      <w:bookmarkEnd w:id="313"/>
      <w:bookmarkEnd w:id="314"/>
      <w:bookmarkEnd w:id="315"/>
      <w:bookmarkEnd w:id="316"/>
      <w:bookmarkEnd w:id="317"/>
      <w:bookmarkEnd w:id="318"/>
      <w:r>
        <w:rPr>
          <w:rFonts w:ascii="宋体" w:hAnsi="宋体" w:eastAsia="宋体"/>
          <w:sz w:val="24"/>
        </w:rPr>
        <w:cr/>
      </w:r>
      <w:bookmarkEnd w:id="319"/>
    </w:p>
    <w:p>
      <w:pPr>
        <w:pStyle w:val="17"/>
        <w:tabs>
          <w:tab w:val="left" w:pos="5580"/>
        </w:tabs>
        <w:jc w:val="center"/>
        <w:rPr>
          <w:rFonts w:hAnsi="宋体"/>
          <w:b/>
          <w:sz w:val="24"/>
        </w:rPr>
      </w:pPr>
      <w:bookmarkStart w:id="320" w:name="_Ref467990056"/>
      <w:bookmarkStart w:id="321" w:name="_Toc520125060"/>
      <w:bookmarkStart w:id="322" w:name="_Toc520356225"/>
      <w:bookmarkStart w:id="323" w:name="_Ref467990098"/>
      <w:bookmarkStart w:id="324" w:name="_Toc480942356"/>
    </w:p>
    <w:bookmarkEnd w:id="320"/>
    <w:bookmarkEnd w:id="321"/>
    <w:bookmarkEnd w:id="322"/>
    <w:bookmarkEnd w:id="323"/>
    <w:bookmarkEnd w:id="324"/>
    <w:p>
      <w:pPr>
        <w:pStyle w:val="17"/>
        <w:tabs>
          <w:tab w:val="left" w:pos="5580"/>
        </w:tabs>
        <w:rPr>
          <w:rStyle w:val="79"/>
          <w:sz w:val="28"/>
          <w:szCs w:val="28"/>
        </w:rPr>
      </w:pPr>
    </w:p>
    <w:p>
      <w:pPr>
        <w:pStyle w:val="5"/>
        <w:tabs>
          <w:tab w:val="left" w:pos="5580"/>
        </w:tabs>
        <w:rPr>
          <w:rFonts w:ascii="宋体" w:hAnsi="宋体" w:eastAsia="宋体"/>
          <w:color w:val="000000"/>
          <w:kern w:val="2"/>
          <w:sz w:val="24"/>
          <w:szCs w:val="24"/>
        </w:rPr>
      </w:pPr>
      <w:r>
        <w:rPr>
          <w:rFonts w:ascii="宋体" w:hAnsi="宋体" w:eastAsia="宋体"/>
          <w:color w:val="000000"/>
          <w:kern w:val="2"/>
          <w:sz w:val="24"/>
          <w:szCs w:val="24"/>
        </w:rPr>
        <w:t>6-1   营业执照等证明文件</w:t>
      </w:r>
    </w:p>
    <w:p>
      <w:pPr>
        <w:pStyle w:val="17"/>
        <w:tabs>
          <w:tab w:val="left" w:pos="5580"/>
        </w:tabs>
        <w:jc w:val="center"/>
        <w:rPr>
          <w:rFonts w:hAnsi="宋体"/>
          <w:b/>
          <w:sz w:val="24"/>
        </w:rPr>
      </w:pPr>
    </w:p>
    <w:p>
      <w:pPr>
        <w:pStyle w:val="17"/>
        <w:tabs>
          <w:tab w:val="left" w:pos="5580"/>
        </w:tabs>
        <w:jc w:val="center"/>
        <w:rPr>
          <w:rFonts w:hAnsi="宋体"/>
          <w:b/>
          <w:sz w:val="24"/>
        </w:rPr>
      </w:pPr>
    </w:p>
    <w:p>
      <w:pPr>
        <w:pStyle w:val="17"/>
        <w:tabs>
          <w:tab w:val="left" w:pos="5580"/>
        </w:tabs>
        <w:jc w:val="center"/>
        <w:rPr>
          <w:rFonts w:hAnsi="宋体"/>
          <w:b/>
          <w:sz w:val="24"/>
        </w:rPr>
      </w:pPr>
    </w:p>
    <w:p>
      <w:pPr>
        <w:pStyle w:val="17"/>
        <w:tabs>
          <w:tab w:val="left" w:pos="5580"/>
        </w:tabs>
        <w:rPr>
          <w:rFonts w:hAnsi="宋体"/>
          <w:sz w:val="24"/>
        </w:rPr>
      </w:pPr>
    </w:p>
    <w:p>
      <w:pPr>
        <w:pStyle w:val="5"/>
        <w:rPr>
          <w:rFonts w:ascii="宋体" w:hAnsi="宋体"/>
          <w:sz w:val="24"/>
          <w:u w:val="single"/>
        </w:rPr>
      </w:pPr>
      <w:r>
        <w:rPr>
          <w:rFonts w:hint="eastAsia" w:hAnsi="宋体"/>
          <w:sz w:val="24"/>
        </w:rPr>
        <w:br w:type="page"/>
      </w:r>
      <w:bookmarkStart w:id="325" w:name="_Toc13711"/>
      <w:r>
        <w:rPr>
          <w:rFonts w:hint="eastAsia" w:ascii="宋体" w:hAnsi="宋体" w:eastAsia="宋体"/>
          <w:kern w:val="2"/>
          <w:sz w:val="24"/>
        </w:rPr>
        <w:t>6-2   授权授权书(实质性格式)</w:t>
      </w:r>
      <w:bookmarkEnd w:id="325"/>
    </w:p>
    <w:p>
      <w:pPr>
        <w:pStyle w:val="17"/>
        <w:jc w:val="center"/>
        <w:rPr>
          <w:rFonts w:hAnsi="宋体"/>
          <w:b/>
          <w:color w:val="000000"/>
          <w:sz w:val="36"/>
          <w:szCs w:val="36"/>
        </w:rPr>
      </w:pPr>
      <w:r>
        <w:rPr>
          <w:rFonts w:hint="eastAsia" w:hAnsi="宋体"/>
          <w:sz w:val="24"/>
          <w:u w:val="single"/>
        </w:rPr>
        <w:cr/>
      </w:r>
      <w:r>
        <w:rPr>
          <w:rFonts w:hint="eastAsia" w:hAnsi="宋体"/>
          <w:b/>
          <w:color w:val="000000"/>
          <w:sz w:val="36"/>
          <w:szCs w:val="36"/>
        </w:rPr>
        <w:t>授权委托书</w:t>
      </w:r>
    </w:p>
    <w:p>
      <w:pPr>
        <w:spacing w:line="360" w:lineRule="auto"/>
        <w:ind w:firstLine="420"/>
        <w:rPr>
          <w:rFonts w:ascii="宋体" w:hAnsi="宋体"/>
          <w:color w:val="000000"/>
          <w:sz w:val="24"/>
          <w:szCs w:val="20"/>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lang w:val="zh-CN"/>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或签章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pPr>
        <w:kinsoku w:val="0"/>
        <w:overflowPunct w:val="0"/>
        <w:spacing w:line="200" w:lineRule="exact"/>
        <w:rPr>
          <w:rFonts w:ascii="宋体" w:hAnsi="宋体"/>
          <w:sz w:val="20"/>
          <w:szCs w:val="20"/>
        </w:rPr>
      </w:pP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pPr>
        <w:pStyle w:val="10"/>
        <w:tabs>
          <w:tab w:val="left" w:pos="2412"/>
          <w:tab w:val="left" w:pos="3883"/>
          <w:tab w:val="left" w:pos="5352"/>
          <w:tab w:val="left" w:pos="6821"/>
        </w:tabs>
        <w:kinsoku w:val="0"/>
        <w:overflowPunct w:val="0"/>
        <w:spacing w:line="335" w:lineRule="exact"/>
        <w:ind w:firstLine="480" w:firstLineChars="200"/>
      </w:pPr>
      <w:r>
        <w:rPr>
          <w:rFonts w:hint="eastAsia"/>
        </w:rPr>
        <w:t>兹证明，</w:t>
      </w:r>
    </w:p>
    <w:p>
      <w:pPr>
        <w:pStyle w:val="10"/>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pPr>
        <w:pStyle w:val="10"/>
        <w:tabs>
          <w:tab w:val="left" w:pos="2412"/>
          <w:tab w:val="left" w:pos="3883"/>
          <w:tab w:val="left" w:pos="5352"/>
          <w:tab w:val="left" w:pos="6821"/>
        </w:tabs>
        <w:kinsoku w:val="0"/>
        <w:overflowPunct w:val="0"/>
        <w:spacing w:line="335" w:lineRule="exact"/>
      </w:pPr>
    </w:p>
    <w:p>
      <w:pPr>
        <w:pStyle w:val="10"/>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pPr>
        <w:pStyle w:val="10"/>
        <w:tabs>
          <w:tab w:val="left" w:pos="2412"/>
          <w:tab w:val="left" w:pos="3883"/>
          <w:tab w:val="left" w:pos="5352"/>
          <w:tab w:val="left" w:pos="6821"/>
        </w:tabs>
        <w:kinsoku w:val="0"/>
        <w:overflowPunct w:val="0"/>
        <w:spacing w:line="335" w:lineRule="exact"/>
      </w:pPr>
    </w:p>
    <w:p>
      <w:pPr>
        <w:pStyle w:val="10"/>
        <w:tabs>
          <w:tab w:val="left" w:pos="2412"/>
          <w:tab w:val="left" w:pos="3883"/>
          <w:tab w:val="left" w:pos="5352"/>
          <w:tab w:val="left" w:pos="6821"/>
        </w:tabs>
        <w:kinsoku w:val="0"/>
        <w:overflowPunct w:val="0"/>
        <w:spacing w:line="335" w:lineRule="exact"/>
      </w:pPr>
    </w:p>
    <w:p>
      <w:pPr>
        <w:pStyle w:val="10"/>
        <w:tabs>
          <w:tab w:val="left" w:pos="2412"/>
          <w:tab w:val="left" w:pos="3883"/>
          <w:tab w:val="left" w:pos="5352"/>
          <w:tab w:val="left" w:pos="6821"/>
        </w:tabs>
        <w:kinsoku w:val="0"/>
        <w:overflowPunct w:val="0"/>
        <w:spacing w:line="335" w:lineRule="exact"/>
      </w:pPr>
    </w:p>
    <w:p>
      <w:pPr>
        <w:pStyle w:val="10"/>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10"/>
        <w:kinsoku w:val="0"/>
        <w:overflowPunct w:val="0"/>
        <w:spacing w:line="583" w:lineRule="auto"/>
        <w:ind w:right="4305"/>
        <w:rPr>
          <w:spacing w:val="-3"/>
        </w:rPr>
      </w:pPr>
    </w:p>
    <w:p>
      <w:pPr>
        <w:pStyle w:val="10"/>
        <w:kinsoku w:val="0"/>
        <w:overflowPunct w:val="0"/>
        <w:spacing w:line="583" w:lineRule="auto"/>
        <w:ind w:right="4305"/>
        <w:rPr>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pPr>
        <w:pStyle w:val="10"/>
        <w:kinsoku w:val="0"/>
        <w:overflowPunct w:val="0"/>
        <w:spacing w:line="583" w:lineRule="auto"/>
        <w:ind w:right="95"/>
        <w:rPr>
          <w:spacing w:val="-3"/>
        </w:rPr>
      </w:pPr>
      <w:r>
        <w:rPr>
          <w:rFonts w:hint="eastAsia"/>
          <w:spacing w:val="-3"/>
        </w:rPr>
        <w:t>法定代表人（</w:t>
      </w:r>
      <w:r>
        <w:t>单位负责人</w:t>
      </w:r>
      <w:r>
        <w:rPr>
          <w:rFonts w:hint="eastAsia"/>
          <w:spacing w:val="-3"/>
        </w:rPr>
        <w:t>）（签字或签章或印鉴）：_</w:t>
      </w:r>
      <w:r>
        <w:rPr>
          <w:spacing w:val="-3"/>
        </w:rPr>
        <w:t>______</w:t>
      </w:r>
    </w:p>
    <w:p>
      <w:pPr>
        <w:autoSpaceDE w:val="0"/>
        <w:autoSpaceDN w:val="0"/>
        <w:adjustRightInd w:val="0"/>
        <w:snapToGrid w:val="0"/>
        <w:spacing w:line="360" w:lineRule="auto"/>
        <w:rPr>
          <w:rFonts w:ascii="宋体" w:hAnsi="宋体"/>
          <w:color w:val="000000"/>
          <w:sz w:val="24"/>
        </w:rPr>
      </w:pP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pPr>
        <w:pStyle w:val="17"/>
        <w:tabs>
          <w:tab w:val="left" w:pos="5580"/>
        </w:tabs>
        <w:jc w:val="center"/>
        <w:rPr>
          <w:rFonts w:hAnsi="宋体"/>
          <w:b/>
          <w:color w:val="000000"/>
          <w:sz w:val="24"/>
          <w:szCs w:val="24"/>
        </w:rPr>
      </w:pPr>
      <w:bookmarkStart w:id="326" w:name="_Hlt520350957"/>
      <w:bookmarkEnd w:id="326"/>
      <w:bookmarkStart w:id="327" w:name="_Hlt520273973"/>
      <w:bookmarkEnd w:id="327"/>
      <w:bookmarkStart w:id="328" w:name="_Toc520356226"/>
      <w:r>
        <w:rPr>
          <w:rFonts w:hAnsi="宋体"/>
          <w:sz w:val="24"/>
        </w:rPr>
        <w:br w:type="page"/>
      </w:r>
      <w:r>
        <w:rPr>
          <w:rFonts w:hAnsi="宋体"/>
          <w:b/>
          <w:color w:val="000000"/>
          <w:sz w:val="24"/>
          <w:szCs w:val="24"/>
        </w:rPr>
        <w:t>6-3   投标人资格声明书（实质性格式）</w:t>
      </w:r>
    </w:p>
    <w:p>
      <w:pPr>
        <w:jc w:val="center"/>
        <w:rPr>
          <w:rFonts w:ascii="宋体" w:hAnsi="宋体"/>
          <w:b/>
          <w:color w:val="000000"/>
          <w:sz w:val="36"/>
          <w:szCs w:val="36"/>
        </w:rPr>
      </w:pPr>
    </w:p>
    <w:p>
      <w:pPr>
        <w:jc w:val="center"/>
        <w:rPr>
          <w:rFonts w:ascii="宋体" w:hAnsi="宋体"/>
          <w:b/>
          <w:color w:val="000000"/>
          <w:sz w:val="36"/>
          <w:szCs w:val="36"/>
        </w:rPr>
      </w:pPr>
      <w:r>
        <w:rPr>
          <w:rFonts w:hint="eastAsia" w:ascii="宋体" w:hAnsi="宋体"/>
          <w:b/>
          <w:color w:val="000000"/>
          <w:sz w:val="36"/>
          <w:szCs w:val="36"/>
        </w:rPr>
        <w:t>投标人资格声明书</w:t>
      </w:r>
    </w:p>
    <w:p>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pPr>
        <w:spacing w:line="360" w:lineRule="auto"/>
        <w:ind w:firstLine="480" w:firstLineChars="200"/>
        <w:rPr>
          <w:rFonts w:ascii="宋体" w:hAnsi="宋体"/>
          <w:sz w:val="24"/>
        </w:rPr>
      </w:pPr>
      <w:r>
        <w:rPr>
          <w:rFonts w:ascii="宋体" w:hAnsi="宋体"/>
          <w:sz w:val="24"/>
        </w:rPr>
        <w:t>在参与本次项目投标中，我单位承诺：</w:t>
      </w:r>
    </w:p>
    <w:p>
      <w:pPr>
        <w:spacing w:line="360" w:lineRule="auto"/>
        <w:ind w:firstLine="480" w:firstLineChars="200"/>
        <w:rPr>
          <w:rFonts w:ascii="宋体" w:hAnsi="宋体"/>
          <w:sz w:val="24"/>
        </w:rPr>
      </w:pPr>
      <w:r>
        <w:rPr>
          <w:rFonts w:hint="eastAsia" w:ascii="宋体" w:hAnsi="宋体"/>
          <w:sz w:val="24"/>
        </w:rPr>
        <w:t>1.我公司是按照中华人民共和国法律成立的一家法人单位（其他组织或自然人），我公司具有独立承担民事责任的能力，具有履行本次采购合同所必需的设备和专业技术能力，具有良好的商业信誉和健全的财务会计制度，具有依法缴纳税收和社会保障资金的良好记录。</w:t>
      </w:r>
    </w:p>
    <w:p>
      <w:pPr>
        <w:spacing w:line="360" w:lineRule="auto"/>
        <w:ind w:firstLine="480" w:firstLineChars="200"/>
        <w:rPr>
          <w:rFonts w:ascii="宋体" w:hAnsi="宋体"/>
          <w:sz w:val="24"/>
        </w:rPr>
      </w:pPr>
      <w:r>
        <w:rPr>
          <w:rFonts w:hint="eastAsia" w:ascii="宋体" w:hAnsi="宋体"/>
          <w:sz w:val="24"/>
        </w:rPr>
        <w:t>2.我公司不是为本采购项目的采购包提供整体设计、规范编制或者项目管理、监理、检测等服务的服务商。</w:t>
      </w:r>
    </w:p>
    <w:p>
      <w:pPr>
        <w:spacing w:line="360" w:lineRule="auto"/>
        <w:ind w:firstLine="480" w:firstLineChars="200"/>
        <w:rPr>
          <w:rFonts w:ascii="宋体" w:hAnsi="宋体"/>
          <w:sz w:val="24"/>
        </w:rPr>
      </w:pPr>
      <w:r>
        <w:rPr>
          <w:rFonts w:hint="eastAsia" w:ascii="宋体" w:hAnsi="宋体"/>
          <w:sz w:val="24"/>
        </w:rPr>
        <w:t>3.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ascii="宋体" w:hAnsi="宋体"/>
          <w:sz w:val="24"/>
        </w:rPr>
      </w:pPr>
      <w:r>
        <w:rPr>
          <w:rFonts w:hint="eastAsia" w:ascii="宋体" w:hAnsi="宋体"/>
          <w:sz w:val="24"/>
        </w:rPr>
        <w:t>4.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pPr>
        <w:spacing w:line="360" w:lineRule="auto"/>
        <w:ind w:firstLine="480" w:firstLineChars="200"/>
        <w:rPr>
          <w:rFonts w:ascii="宋体" w:hAnsi="宋体"/>
          <w:sz w:val="24"/>
        </w:rPr>
      </w:pPr>
      <w:r>
        <w:rPr>
          <w:rFonts w:hint="eastAsia" w:ascii="宋体" w:hAnsi="宋体"/>
          <w:sz w:val="24"/>
        </w:rPr>
        <w:t>5.与我单位存在“单位负责人为同一人或者存在直接控股、管理关系”的其他法人单位信息如下（如有，不论其是否参加同一合同项下的采购活动均须填写）：</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序号</w:t>
            </w:r>
          </w:p>
        </w:tc>
        <w:tc>
          <w:tcPr>
            <w:tcW w:w="4574" w:type="dxa"/>
            <w:vAlign w:val="center"/>
          </w:tcPr>
          <w:p>
            <w:pPr>
              <w:jc w:val="center"/>
              <w:rPr>
                <w:rFonts w:ascii="宋体" w:hAnsi="宋体"/>
                <w:sz w:val="24"/>
              </w:rPr>
            </w:pPr>
            <w:r>
              <w:rPr>
                <w:rFonts w:ascii="宋体" w:hAnsi="宋体"/>
                <w:sz w:val="24"/>
              </w:rPr>
              <w:t>单位名称</w:t>
            </w:r>
          </w:p>
        </w:tc>
        <w:tc>
          <w:tcPr>
            <w:tcW w:w="2976" w:type="dxa"/>
            <w:vAlign w:val="center"/>
          </w:tcPr>
          <w:p>
            <w:pPr>
              <w:jc w:val="center"/>
              <w:rPr>
                <w:rFonts w:ascii="宋体" w:hAnsi="宋体"/>
                <w:sz w:val="24"/>
              </w:rPr>
            </w:pPr>
            <w:r>
              <w:rPr>
                <w:rFonts w:ascii="宋体" w:hAnsi="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1</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2</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sz w:val="24"/>
              </w:rPr>
            </w:pPr>
            <w:r>
              <w:rPr>
                <w:rFonts w:ascii="宋体" w:hAnsi="宋体"/>
                <w:sz w:val="24"/>
              </w:rPr>
              <w:t>…</w:t>
            </w:r>
          </w:p>
        </w:tc>
        <w:tc>
          <w:tcPr>
            <w:tcW w:w="4574" w:type="dxa"/>
            <w:vAlign w:val="center"/>
          </w:tcPr>
          <w:p>
            <w:pPr>
              <w:jc w:val="center"/>
              <w:rPr>
                <w:rFonts w:ascii="宋体" w:hAnsi="宋体"/>
                <w:sz w:val="24"/>
              </w:rPr>
            </w:pPr>
          </w:p>
        </w:tc>
        <w:tc>
          <w:tcPr>
            <w:tcW w:w="2976" w:type="dxa"/>
            <w:vAlign w:val="center"/>
          </w:tcPr>
          <w:p>
            <w:pPr>
              <w:jc w:val="center"/>
              <w:rPr>
                <w:rFonts w:ascii="宋体" w:hAnsi="宋体"/>
                <w:sz w:val="24"/>
              </w:rPr>
            </w:pPr>
          </w:p>
        </w:tc>
      </w:tr>
    </w:tbl>
    <w:p>
      <w:pPr>
        <w:ind w:firstLine="480" w:firstLineChars="200"/>
        <w:rPr>
          <w:rFonts w:ascii="宋体" w:hAnsi="宋体"/>
          <w:sz w:val="24"/>
          <w:szCs w:val="22"/>
        </w:rPr>
      </w:pPr>
      <w:r>
        <w:rPr>
          <w:rFonts w:ascii="宋体" w:hAnsi="宋体"/>
          <w:sz w:val="24"/>
        </w:rPr>
        <w:t>上述声明真实有效，否则我方负全部责任。</w:t>
      </w:r>
    </w:p>
    <w:p>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pPr>
        <w:spacing w:line="360" w:lineRule="auto"/>
        <w:ind w:right="360" w:firstLine="480"/>
        <w:jc w:val="right"/>
        <w:rPr>
          <w:rFonts w:ascii="宋体" w:hAnsi="宋体"/>
          <w:sz w:val="24"/>
        </w:rPr>
      </w:pPr>
      <w:r>
        <w:rPr>
          <w:rFonts w:ascii="宋体" w:hAnsi="宋体"/>
          <w:sz w:val="24"/>
          <w:szCs w:val="20"/>
        </w:rPr>
        <w:t xml:space="preserve">日期：_____年______月______日   </w:t>
      </w:r>
    </w:p>
    <w:p>
      <w:pPr>
        <w:spacing w:line="360" w:lineRule="auto"/>
        <w:rPr>
          <w:rFonts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pPr>
        <w:pStyle w:val="17"/>
        <w:tabs>
          <w:tab w:val="left" w:pos="5580"/>
        </w:tabs>
        <w:rPr>
          <w:rFonts w:hAnsi="宋体"/>
          <w:b/>
          <w:bCs/>
        </w:rPr>
      </w:pPr>
      <w:r>
        <w:rPr>
          <w:rFonts w:hint="eastAsia" w:hAnsi="宋体"/>
          <w:b/>
          <w:bCs/>
        </w:rPr>
        <w:br w:type="page"/>
      </w:r>
    </w:p>
    <w:p>
      <w:pPr>
        <w:pStyle w:val="5"/>
        <w:tabs>
          <w:tab w:val="left" w:pos="5580"/>
        </w:tabs>
        <w:rPr>
          <w:rFonts w:ascii="宋体" w:hAnsi="宋体" w:eastAsia="宋体"/>
          <w:color w:val="000000"/>
          <w:kern w:val="2"/>
          <w:sz w:val="24"/>
          <w:szCs w:val="24"/>
        </w:rPr>
      </w:pPr>
      <w:r>
        <w:rPr>
          <w:rFonts w:ascii="宋体" w:hAnsi="宋体" w:eastAsia="宋体"/>
          <w:color w:val="000000"/>
          <w:kern w:val="2"/>
          <w:sz w:val="24"/>
          <w:szCs w:val="24"/>
        </w:rPr>
        <w:t xml:space="preserve">6-4   </w:t>
      </w:r>
      <w:bookmarkEnd w:id="328"/>
      <w:r>
        <w:rPr>
          <w:rFonts w:ascii="宋体" w:hAnsi="宋体" w:eastAsia="宋体"/>
          <w:color w:val="000000"/>
          <w:kern w:val="2"/>
          <w:sz w:val="24"/>
          <w:szCs w:val="24"/>
        </w:rPr>
        <w:t>纳税证明</w:t>
      </w:r>
    </w:p>
    <w:p>
      <w:pPr>
        <w:jc w:val="center"/>
        <w:rPr>
          <w:rFonts w:ascii="宋体" w:hAnsi="宋体"/>
          <w:b/>
          <w:bCs/>
          <w:sz w:val="24"/>
        </w:rPr>
      </w:pPr>
    </w:p>
    <w:p>
      <w:pPr>
        <w:jc w:val="center"/>
        <w:rPr>
          <w:rFonts w:ascii="宋体" w:hAnsi="宋体"/>
          <w:b/>
          <w:bCs/>
          <w:sz w:val="24"/>
        </w:rPr>
      </w:pPr>
    </w:p>
    <w:p>
      <w:pPr>
        <w:tabs>
          <w:tab w:val="left" w:pos="5580"/>
        </w:tabs>
        <w:spacing w:before="120" w:line="360" w:lineRule="auto"/>
        <w:ind w:firstLine="480" w:firstLineChars="200"/>
        <w:rPr>
          <w:sz w:val="24"/>
        </w:rPr>
      </w:pPr>
    </w:p>
    <w:p>
      <w:pPr>
        <w:tabs>
          <w:tab w:val="left" w:pos="5580"/>
        </w:tabs>
        <w:spacing w:before="120" w:line="360" w:lineRule="auto"/>
        <w:ind w:firstLine="480" w:firstLineChars="200"/>
        <w:rPr>
          <w:sz w:val="24"/>
        </w:rPr>
      </w:pPr>
      <w:r>
        <w:rPr>
          <w:rFonts w:hint="eastAsia"/>
          <w:sz w:val="24"/>
        </w:rPr>
        <w:t>说明：</w:t>
      </w:r>
    </w:p>
    <w:p>
      <w:pPr>
        <w:tabs>
          <w:tab w:val="left" w:pos="5580"/>
        </w:tabs>
        <w:spacing w:before="120" w:line="360" w:lineRule="auto"/>
        <w:ind w:firstLine="480" w:firstLineChars="200"/>
        <w:rPr>
          <w:rFonts w:hAnsi="宋体"/>
          <w:sz w:val="24"/>
        </w:rPr>
      </w:pPr>
      <w:r>
        <w:rPr>
          <w:rFonts w:hint="eastAsia"/>
          <w:sz w:val="24"/>
        </w:rPr>
        <w:t>提供开标日前六个月内任意一个月的纳税（法人单位必须为增值税或营业税或企业所得税）证明（银行缴费凭证或税务机关开具的证明）复印件。依法免税的投标人，应提供相应文件（复印件）证明其依法免税。自然人应提供个人缴税凭证并签署本人姓名。若投标人在开标前6个月内依法可以不缴相应税种的，应出具相应的说明。</w:t>
      </w:r>
      <w:r>
        <w:rPr>
          <w:rFonts w:hint="eastAsia" w:hAnsi="宋体"/>
          <w:sz w:val="24"/>
        </w:rPr>
        <w:cr/>
      </w:r>
      <w:r>
        <w:rPr>
          <w:rFonts w:hint="eastAsia" w:hAnsi="宋体"/>
          <w:sz w:val="24"/>
        </w:rPr>
        <w:cr/>
      </w:r>
      <w:bookmarkStart w:id="329" w:name="_Hlt520274121"/>
      <w:bookmarkEnd w:id="329"/>
      <w:bookmarkStart w:id="330" w:name="_Toc520356227"/>
    </w:p>
    <w:p>
      <w:pPr>
        <w:pStyle w:val="17"/>
        <w:tabs>
          <w:tab w:val="left" w:pos="5580"/>
        </w:tabs>
        <w:rPr>
          <w:rFonts w:hAnsi="宋体"/>
          <w:sz w:val="24"/>
        </w:rPr>
      </w:pPr>
    </w:p>
    <w:bookmarkEnd w:id="330"/>
    <w:p>
      <w:pPr>
        <w:pStyle w:val="17"/>
        <w:tabs>
          <w:tab w:val="left" w:pos="5580"/>
        </w:tabs>
        <w:rPr>
          <w:rFonts w:hAnsi="宋体"/>
          <w:sz w:val="24"/>
        </w:rPr>
      </w:pPr>
    </w:p>
    <w:p>
      <w:pPr>
        <w:pStyle w:val="5"/>
        <w:tabs>
          <w:tab w:val="left" w:pos="5580"/>
        </w:tabs>
        <w:rPr>
          <w:rFonts w:ascii="宋体" w:hAnsi="宋体" w:eastAsia="宋体"/>
          <w:kern w:val="2"/>
          <w:sz w:val="24"/>
          <w:szCs w:val="24"/>
        </w:rPr>
      </w:pPr>
      <w:bookmarkStart w:id="331" w:name="_Hlt520271212"/>
      <w:bookmarkEnd w:id="331"/>
      <w:bookmarkStart w:id="332" w:name="_Hlt520273711"/>
      <w:bookmarkEnd w:id="332"/>
      <w:bookmarkStart w:id="333" w:name="_Hlt520274407"/>
      <w:bookmarkEnd w:id="333"/>
      <w:bookmarkStart w:id="334" w:name="_Hlt520274065"/>
      <w:bookmarkEnd w:id="334"/>
      <w:bookmarkStart w:id="335" w:name="_Hlt520343000"/>
      <w:bookmarkEnd w:id="335"/>
      <w:bookmarkStart w:id="336" w:name="_Hlt520343392"/>
      <w:bookmarkEnd w:id="336"/>
      <w:bookmarkStart w:id="337" w:name="_Hlt520274393"/>
      <w:bookmarkEnd w:id="337"/>
      <w:bookmarkStart w:id="338" w:name="_Hlt520350918"/>
      <w:bookmarkEnd w:id="338"/>
      <w:bookmarkStart w:id="339" w:name="_Ref467990058"/>
      <w:bookmarkStart w:id="340" w:name="_Ref467988479"/>
      <w:bookmarkStart w:id="341" w:name="_Toc480942357"/>
      <w:bookmarkStart w:id="342" w:name="_Ref467988471"/>
      <w:bookmarkStart w:id="343" w:name="_Toc520356229"/>
      <w:bookmarkStart w:id="344" w:name="_Toc520125062"/>
      <w:bookmarkStart w:id="345" w:name="_Ref467990100"/>
      <w:bookmarkStart w:id="346" w:name="_Toc520356228"/>
      <w:bookmarkStart w:id="347" w:name="_Ref467990064"/>
      <w:bookmarkStart w:id="348" w:name="_Toc520125061"/>
      <w:bookmarkStart w:id="349" w:name="_Ref467990101"/>
      <w:bookmarkStart w:id="350" w:name="_Toc480942358"/>
      <w:bookmarkStart w:id="351" w:name="_Ref467988485"/>
      <w:r>
        <w:rPr>
          <w:rFonts w:hint="eastAsia"/>
        </w:rPr>
        <w:br w:type="page"/>
      </w:r>
      <w:r>
        <w:rPr>
          <w:rFonts w:hint="eastAsia" w:ascii="宋体" w:hAnsi="宋体" w:eastAsia="宋体"/>
          <w:kern w:val="2"/>
          <w:sz w:val="24"/>
          <w:szCs w:val="24"/>
        </w:rPr>
        <w:t xml:space="preserve">6-5 </w:t>
      </w:r>
      <w:r>
        <w:rPr>
          <w:rFonts w:ascii="宋体" w:hAnsi="宋体" w:eastAsia="宋体"/>
          <w:kern w:val="2"/>
          <w:sz w:val="24"/>
          <w:szCs w:val="24"/>
        </w:rPr>
        <w:t>投标人的</w:t>
      </w:r>
      <w:bookmarkStart w:id="352" w:name="_Hlk496025560"/>
      <w:r>
        <w:rPr>
          <w:rFonts w:ascii="宋体" w:hAnsi="宋体" w:eastAsia="宋体"/>
          <w:kern w:val="2"/>
          <w:sz w:val="24"/>
          <w:szCs w:val="24"/>
        </w:rPr>
        <w:t>财务状况报告</w:t>
      </w:r>
      <w:bookmarkEnd w:id="352"/>
    </w:p>
    <w:p>
      <w:pPr>
        <w:tabs>
          <w:tab w:val="left" w:pos="5580"/>
        </w:tabs>
        <w:spacing w:before="120" w:line="360" w:lineRule="auto"/>
        <w:jc w:val="center"/>
        <w:rPr>
          <w:b/>
          <w:sz w:val="24"/>
        </w:rPr>
      </w:pPr>
      <w:r>
        <w:rPr>
          <w:rFonts w:hint="eastAsia"/>
          <w:b/>
          <w:sz w:val="24"/>
        </w:rPr>
        <w:t>会计师事务所出具的年度财务审计报告或银行出具的资信证明</w:t>
      </w:r>
    </w:p>
    <w:p>
      <w:pPr>
        <w:tabs>
          <w:tab w:val="left" w:pos="3060"/>
          <w:tab w:val="left" w:pos="5580"/>
        </w:tabs>
        <w:spacing w:before="120" w:line="360" w:lineRule="auto"/>
        <w:ind w:left="3057" w:hanging="1619"/>
        <w:rPr>
          <w:b/>
          <w:sz w:val="24"/>
        </w:rPr>
      </w:pPr>
    </w:p>
    <w:p>
      <w:pPr>
        <w:tabs>
          <w:tab w:val="left" w:pos="5580"/>
        </w:tabs>
        <w:spacing w:before="120" w:line="22" w:lineRule="atLeast"/>
        <w:ind w:firstLine="549"/>
        <w:jc w:val="center"/>
        <w:rPr>
          <w:b/>
          <w:sz w:val="24"/>
        </w:rPr>
      </w:pPr>
    </w:p>
    <w:p>
      <w:pPr>
        <w:spacing w:before="120" w:line="360" w:lineRule="auto"/>
        <w:ind w:firstLine="480" w:firstLineChars="200"/>
        <w:rPr>
          <w:sz w:val="24"/>
        </w:rPr>
      </w:pPr>
      <w:r>
        <w:rPr>
          <w:rFonts w:hint="eastAsia"/>
          <w:sz w:val="24"/>
        </w:rPr>
        <w:t>说明：</w:t>
      </w:r>
    </w:p>
    <w:p>
      <w:pPr>
        <w:tabs>
          <w:tab w:val="left" w:pos="5580"/>
        </w:tabs>
        <w:spacing w:before="120" w:line="360" w:lineRule="auto"/>
        <w:ind w:firstLine="480" w:firstLineChars="200"/>
        <w:rPr>
          <w:bCs/>
          <w:sz w:val="24"/>
        </w:rPr>
      </w:pPr>
      <w:r>
        <w:rPr>
          <w:rFonts w:hint="eastAsia"/>
          <w:sz w:val="24"/>
        </w:rPr>
        <w:t>1、投标人在投标文件中，必须提供本单位20</w:t>
      </w:r>
      <w:r>
        <w:rPr>
          <w:sz w:val="24"/>
        </w:rPr>
        <w:t>2</w:t>
      </w:r>
      <w:r>
        <w:rPr>
          <w:rFonts w:hint="eastAsia"/>
          <w:sz w:val="24"/>
        </w:rPr>
        <w:t>1年度或2022年度经</w:t>
      </w:r>
      <w:r>
        <w:rPr>
          <w:rFonts w:hint="eastAsia"/>
          <w:b/>
          <w:sz w:val="24"/>
        </w:rPr>
        <w:t>会计师事务所出具的审计报告</w:t>
      </w:r>
      <w:bookmarkStart w:id="353" w:name="_Hlk496025590"/>
      <w:r>
        <w:rPr>
          <w:rFonts w:hint="eastAsia"/>
          <w:bCs/>
          <w:sz w:val="24"/>
        </w:rPr>
        <w:t>（须包括审计报告正文、资产负债表、利润表和现金流量表复印件，税务审计报告或未加盖会计师事务所公章的财务审计报告无效）</w:t>
      </w:r>
      <w:bookmarkEnd w:id="353"/>
      <w:r>
        <w:rPr>
          <w:rFonts w:hint="eastAsia"/>
          <w:sz w:val="24"/>
        </w:rPr>
        <w:t>复印件并逐页加盖</w:t>
      </w:r>
      <w:r>
        <w:rPr>
          <w:rFonts w:hint="eastAsia"/>
          <w:bCs/>
          <w:sz w:val="24"/>
        </w:rPr>
        <w:t>本单位公章。</w:t>
      </w:r>
    </w:p>
    <w:p>
      <w:pPr>
        <w:tabs>
          <w:tab w:val="left" w:pos="5580"/>
        </w:tabs>
        <w:spacing w:before="120" w:line="360" w:lineRule="auto"/>
        <w:ind w:firstLine="480" w:firstLineChars="200"/>
        <w:rPr>
          <w:sz w:val="24"/>
        </w:rPr>
      </w:pPr>
      <w:r>
        <w:rPr>
          <w:rFonts w:hint="eastAsia"/>
          <w:sz w:val="24"/>
        </w:rPr>
        <w:t>2、如投标人无法提供符合要求的审计报告，则需提供银行出具的资信证明。银行资信证明可提供原件，也可提供银行在在</w:t>
      </w:r>
      <w:r>
        <w:rPr>
          <w:rFonts w:hint="eastAsia"/>
          <w:b/>
          <w:bCs/>
          <w:sz w:val="24"/>
        </w:rPr>
        <w:t>开标日前三个月内开具</w:t>
      </w:r>
      <w:r>
        <w:rPr>
          <w:rFonts w:hint="eastAsia"/>
          <w:sz w:val="24"/>
        </w:rPr>
        <w:t>的资信证明的复印件（</w:t>
      </w:r>
      <w:r>
        <w:rPr>
          <w:rFonts w:hint="eastAsia"/>
          <w:b/>
          <w:bCs/>
          <w:sz w:val="24"/>
        </w:rPr>
        <w:t>开具银行明确表示复印无效的，须提交原件</w:t>
      </w:r>
      <w:r>
        <w:rPr>
          <w:rFonts w:hint="eastAsia"/>
          <w:sz w:val="24"/>
        </w:rPr>
        <w:t xml:space="preserve">）。若提供的是复印件，采购单位保留审核原件的权利。 </w:t>
      </w:r>
      <w:r>
        <w:rPr>
          <w:sz w:val="24"/>
        </w:rPr>
        <w:t xml:space="preserve">  </w:t>
      </w:r>
    </w:p>
    <w:p>
      <w:pPr>
        <w:tabs>
          <w:tab w:val="left" w:pos="5580"/>
        </w:tabs>
        <w:spacing w:before="120" w:line="360" w:lineRule="auto"/>
        <w:ind w:firstLine="480" w:firstLineChars="200"/>
        <w:rPr>
          <w:sz w:val="24"/>
        </w:rPr>
      </w:pPr>
      <w:r>
        <w:rPr>
          <w:rFonts w:hint="eastAsia"/>
          <w:sz w:val="24"/>
        </w:rPr>
        <w:t>3、银行资信证明应能说明该投标人与银行之间业务往来正常，企业信誉良好等。银行出具的存款证明不能替代银行资信证明。</w:t>
      </w:r>
    </w:p>
    <w:p>
      <w:pPr>
        <w:tabs>
          <w:tab w:val="left" w:pos="5580"/>
        </w:tabs>
        <w:spacing w:before="120" w:line="360" w:lineRule="auto"/>
        <w:ind w:firstLine="480" w:firstLineChars="200"/>
        <w:rPr>
          <w:sz w:val="24"/>
        </w:rPr>
      </w:pPr>
      <w:r>
        <w:rPr>
          <w:rFonts w:hint="eastAsia"/>
          <w:sz w:val="24"/>
        </w:rPr>
        <w:t>4、成立一年内的公司可提交验资证明复印件并加盖本单位公章。</w:t>
      </w:r>
      <w:r>
        <w:rPr>
          <w:sz w:val="24"/>
        </w:rPr>
        <w:br w:type="page"/>
      </w:r>
    </w:p>
    <w:p>
      <w:pPr>
        <w:pStyle w:val="5"/>
        <w:tabs>
          <w:tab w:val="left" w:pos="5580"/>
        </w:tabs>
      </w:pPr>
      <w:r>
        <w:rPr>
          <w:rFonts w:hint="eastAsia" w:ascii="宋体" w:hAnsi="宋体" w:eastAsia="宋体"/>
          <w:color w:val="000000"/>
          <w:kern w:val="2"/>
          <w:sz w:val="24"/>
          <w:szCs w:val="24"/>
        </w:rPr>
        <w:t xml:space="preserve">6-6 </w:t>
      </w:r>
      <w:r>
        <w:rPr>
          <w:rFonts w:ascii="宋体" w:hAnsi="宋体" w:eastAsia="宋体"/>
          <w:color w:val="000000"/>
          <w:kern w:val="2"/>
          <w:sz w:val="24"/>
          <w:szCs w:val="24"/>
        </w:rPr>
        <w:t>社会保障资金缴纳记录</w:t>
      </w:r>
      <w:r>
        <w:rPr>
          <w:b w:val="0"/>
        </w:rPr>
        <w:cr/>
      </w:r>
    </w:p>
    <w:p>
      <w:pPr>
        <w:tabs>
          <w:tab w:val="left" w:pos="5580"/>
        </w:tabs>
        <w:spacing w:before="120" w:line="360" w:lineRule="auto"/>
        <w:ind w:firstLine="480" w:firstLineChars="200"/>
        <w:rPr>
          <w:sz w:val="24"/>
        </w:rPr>
      </w:pPr>
      <w:r>
        <w:rPr>
          <w:rFonts w:hint="eastAsia"/>
          <w:sz w:val="24"/>
        </w:rPr>
        <w:t>说明：</w:t>
      </w:r>
    </w:p>
    <w:p>
      <w:pPr>
        <w:tabs>
          <w:tab w:val="left" w:pos="5580"/>
        </w:tabs>
        <w:spacing w:before="120" w:line="360" w:lineRule="auto"/>
        <w:ind w:firstLine="480" w:firstLineChars="200"/>
        <w:rPr>
          <w:sz w:val="24"/>
        </w:rPr>
      </w:pPr>
      <w:r>
        <w:rPr>
          <w:rFonts w:hint="eastAsia"/>
          <w:sz w:val="24"/>
        </w:rPr>
        <w:t>证明材料应提供开标前6个月内任意1个月的社会保障资金缴纳凭证的复印件（公司缴费的银行单据或公司所在社保机构开具的缴费凭证。自行编写的无效）。法人或者其他组织须加盖本单位公章；自然人应提供个人缴税凭证并签署本人姓名。不需要缴纳社会保障资金的投标人，应提供相应文件（复印件）证明其不需要缴纳社会保障资金。</w:t>
      </w:r>
    </w:p>
    <w:p>
      <w:pPr>
        <w:pStyle w:val="17"/>
        <w:tabs>
          <w:tab w:val="left" w:pos="5580"/>
        </w:tabs>
        <w:spacing w:line="360" w:lineRule="auto"/>
      </w:pPr>
      <w:r>
        <w:br w:type="page"/>
      </w:r>
    </w:p>
    <w:p>
      <w:pPr>
        <w:pStyle w:val="5"/>
        <w:tabs>
          <w:tab w:val="left" w:pos="5580"/>
        </w:tabs>
        <w:rPr>
          <w:rFonts w:ascii="宋体" w:hAnsi="宋体" w:eastAsia="宋体"/>
          <w:kern w:val="2"/>
          <w:sz w:val="24"/>
          <w:szCs w:val="24"/>
        </w:rPr>
      </w:pPr>
      <w:r>
        <w:rPr>
          <w:rFonts w:ascii="宋体" w:hAnsi="宋体" w:eastAsia="宋体"/>
          <w:kern w:val="2"/>
          <w:sz w:val="24"/>
          <w:szCs w:val="24"/>
        </w:rPr>
        <w:t>6-7 制造厂家授权书　</w:t>
      </w:r>
    </w:p>
    <w:p>
      <w:pPr>
        <w:pStyle w:val="17"/>
        <w:tabs>
          <w:tab w:val="left" w:pos="5580"/>
        </w:tabs>
        <w:spacing w:line="360" w:lineRule="auto"/>
        <w:ind w:left="424" w:firstLine="240"/>
        <w:jc w:val="center"/>
        <w:rPr>
          <w:rFonts w:hAnsi="宋体"/>
          <w:b/>
          <w:sz w:val="24"/>
        </w:rPr>
      </w:pPr>
    </w:p>
    <w:p>
      <w:pPr>
        <w:tabs>
          <w:tab w:val="left" w:pos="5580"/>
        </w:tabs>
        <w:spacing w:before="120" w:line="360" w:lineRule="auto"/>
        <w:rPr>
          <w:rFonts w:ascii="宋体" w:hAnsi="宋体"/>
          <w:sz w:val="24"/>
          <w:u w:val="single"/>
        </w:rPr>
      </w:pPr>
      <w:r>
        <w:rPr>
          <w:rFonts w:hint="eastAsia" w:ascii="宋体" w:hAnsi="宋体"/>
          <w:sz w:val="24"/>
        </w:rPr>
        <w:t>致：</w:t>
      </w:r>
      <w:r>
        <w:rPr>
          <w:rFonts w:hint="eastAsia" w:ascii="宋体" w:hAnsi="宋体"/>
          <w:sz w:val="24"/>
          <w:u w:val="single"/>
        </w:rPr>
        <w:t>采购人或采购代理机构</w:t>
      </w:r>
    </w:p>
    <w:p>
      <w:pPr>
        <w:tabs>
          <w:tab w:val="left" w:pos="5580"/>
        </w:tabs>
        <w:spacing w:before="120" w:line="360" w:lineRule="auto"/>
        <w:rPr>
          <w:rFonts w:ascii="宋体" w:hAnsi="宋体"/>
          <w:sz w:val="24"/>
        </w:rPr>
      </w:pPr>
    </w:p>
    <w:p>
      <w:pPr>
        <w:pStyle w:val="17"/>
        <w:tabs>
          <w:tab w:val="left" w:pos="5580"/>
        </w:tabs>
        <w:spacing w:line="360" w:lineRule="auto"/>
        <w:ind w:firstLine="420"/>
        <w:rPr>
          <w:rFonts w:hAnsi="宋体"/>
          <w:sz w:val="24"/>
        </w:rPr>
      </w:pPr>
      <w:r>
        <w:rPr>
          <w:rFonts w:hint="eastAsia" w:hAnsi="宋体"/>
          <w:sz w:val="24"/>
        </w:rPr>
        <w:t>我们（</w:t>
      </w:r>
      <w:r>
        <w:rPr>
          <w:rFonts w:hint="eastAsia" w:hAnsi="宋体"/>
          <w:sz w:val="24"/>
          <w:u w:val="single"/>
        </w:rPr>
        <w:t>制造商名称</w:t>
      </w:r>
      <w:r>
        <w:rPr>
          <w:rFonts w:hint="eastAsia" w:hAnsi="宋体"/>
          <w:sz w:val="24"/>
        </w:rPr>
        <w:t>）是按（</w:t>
      </w:r>
      <w:r>
        <w:rPr>
          <w:rFonts w:hint="eastAsia" w:hAnsi="宋体"/>
          <w:sz w:val="24"/>
          <w:u w:val="single"/>
        </w:rPr>
        <w:t>国家名称</w:t>
      </w:r>
      <w:r>
        <w:rPr>
          <w:rFonts w:hint="eastAsia" w:hAnsi="宋体"/>
          <w:sz w:val="24"/>
        </w:rPr>
        <w:t>）法律成立的一家制造商，主要营业地点设在（</w:t>
      </w:r>
      <w:r>
        <w:rPr>
          <w:rFonts w:hint="eastAsia" w:hAnsi="宋体"/>
          <w:sz w:val="24"/>
          <w:u w:val="single"/>
        </w:rPr>
        <w:t>制造商地址</w:t>
      </w:r>
      <w:r>
        <w:rPr>
          <w:rFonts w:hint="eastAsia" w:hAnsi="宋体"/>
          <w:sz w:val="24"/>
        </w:rPr>
        <w:t>）。兹指派按（</w:t>
      </w:r>
      <w:r>
        <w:rPr>
          <w:rFonts w:hint="eastAsia" w:hAnsi="宋体"/>
          <w:sz w:val="24"/>
          <w:u w:val="single"/>
        </w:rPr>
        <w:t>国家名称</w:t>
      </w:r>
      <w:r>
        <w:rPr>
          <w:rFonts w:hint="eastAsia" w:hAnsi="宋体"/>
          <w:sz w:val="24"/>
        </w:rPr>
        <w:t>）的法律正式成立的，主要营业地点设在（</w:t>
      </w:r>
      <w:r>
        <w:rPr>
          <w:rFonts w:hint="eastAsia" w:hAnsi="宋体"/>
          <w:sz w:val="24"/>
          <w:u w:val="single"/>
        </w:rPr>
        <w:t>经销商地址</w:t>
      </w:r>
      <w:r>
        <w:rPr>
          <w:rFonts w:hint="eastAsia" w:hAnsi="宋体"/>
          <w:sz w:val="24"/>
        </w:rPr>
        <w:t>）的（</w:t>
      </w:r>
      <w:r>
        <w:rPr>
          <w:rFonts w:hint="eastAsia" w:hAnsi="宋体"/>
          <w:sz w:val="24"/>
          <w:u w:val="single"/>
        </w:rPr>
        <w:t>经销商名称</w:t>
      </w:r>
      <w:r>
        <w:rPr>
          <w:rFonts w:hint="eastAsia" w:hAnsi="宋体"/>
          <w:sz w:val="24"/>
        </w:rPr>
        <w:t>）作为我方真正的合法的代理人进行下列有效的活动：</w:t>
      </w:r>
    </w:p>
    <w:p>
      <w:pPr>
        <w:pStyle w:val="17"/>
        <w:numPr>
          <w:ilvl w:val="0"/>
          <w:numId w:val="14"/>
        </w:numPr>
        <w:tabs>
          <w:tab w:val="left" w:pos="5580"/>
        </w:tabs>
        <w:spacing w:line="360" w:lineRule="auto"/>
        <w:rPr>
          <w:rFonts w:hAnsi="宋体"/>
          <w:sz w:val="24"/>
        </w:rPr>
      </w:pPr>
      <w:r>
        <w:rPr>
          <w:rFonts w:hint="eastAsia" w:hAnsi="宋体"/>
          <w:sz w:val="24"/>
        </w:rPr>
        <w:t>代表我方办理贵方第</w:t>
      </w:r>
      <w:r>
        <w:rPr>
          <w:rFonts w:hint="eastAsia" w:hAnsi="宋体"/>
          <w:sz w:val="24"/>
          <w:u w:val="single"/>
        </w:rPr>
        <w:t>　　（项目编号）　　</w:t>
      </w:r>
      <w:r>
        <w:rPr>
          <w:rFonts w:hint="eastAsia" w:hAnsi="宋体"/>
          <w:sz w:val="24"/>
        </w:rPr>
        <w:t>号招标文件要求提供的由我方制造的</w:t>
      </w:r>
      <w:r>
        <w:rPr>
          <w:rFonts w:hint="eastAsia" w:hAnsi="宋体"/>
          <w:sz w:val="24"/>
          <w:u w:val="single"/>
        </w:rPr>
        <w:t>（货物名称和品牌型号）</w:t>
      </w:r>
      <w:r>
        <w:rPr>
          <w:rFonts w:hint="eastAsia" w:hAnsi="宋体"/>
          <w:sz w:val="24"/>
        </w:rPr>
        <w:t>的有关事宜，并对我方具有约束力。</w:t>
      </w:r>
    </w:p>
    <w:p>
      <w:pPr>
        <w:pStyle w:val="17"/>
        <w:tabs>
          <w:tab w:val="left" w:pos="5580"/>
        </w:tabs>
        <w:spacing w:line="360" w:lineRule="auto"/>
        <w:ind w:left="1261" w:hanging="780"/>
        <w:rPr>
          <w:rFonts w:hAnsi="宋体"/>
          <w:sz w:val="24"/>
        </w:rPr>
      </w:pPr>
      <w:r>
        <w:rPr>
          <w:rFonts w:hint="eastAsia" w:hAnsi="宋体"/>
          <w:sz w:val="24"/>
        </w:rPr>
        <w:t>（2） 作为制造商，我方保证以投标合作者来约束自己，并对该投标共同和分别承担招标文件中所规定的义务。</w:t>
      </w:r>
    </w:p>
    <w:p>
      <w:pPr>
        <w:pStyle w:val="17"/>
        <w:tabs>
          <w:tab w:val="left" w:pos="5580"/>
        </w:tabs>
        <w:spacing w:line="360" w:lineRule="auto"/>
        <w:ind w:left="1261" w:hanging="780"/>
        <w:rPr>
          <w:rFonts w:hAnsi="宋体"/>
          <w:sz w:val="24"/>
        </w:rPr>
      </w:pPr>
      <w:r>
        <w:rPr>
          <w:rFonts w:hint="eastAsia" w:hAnsi="宋体"/>
          <w:sz w:val="24"/>
        </w:rPr>
        <w:t>（3） 我方兹授予</w:t>
      </w:r>
      <w:r>
        <w:rPr>
          <w:rFonts w:hint="eastAsia" w:hAnsi="宋体"/>
          <w:sz w:val="24"/>
          <w:u w:val="single"/>
        </w:rPr>
        <w:t>　　（经销商名称）　　</w:t>
      </w:r>
      <w:r>
        <w:rPr>
          <w:rFonts w:hint="eastAsia" w:hAnsi="宋体"/>
          <w:sz w:val="24"/>
        </w:rPr>
        <w:t>全权办理和履行上述我方为完成上述各点所必须的事宜，具有替换或撤销的全权。兹确认</w:t>
      </w:r>
      <w:r>
        <w:rPr>
          <w:rFonts w:hint="eastAsia" w:hAnsi="宋体"/>
          <w:sz w:val="24"/>
          <w:u w:val="single"/>
        </w:rPr>
        <w:t>　　（经销商名称）　　</w:t>
      </w:r>
      <w:r>
        <w:rPr>
          <w:rFonts w:hint="eastAsia" w:hAnsi="宋体"/>
          <w:sz w:val="24"/>
        </w:rPr>
        <w:t>或其正式授权代表依此合法地办理一切事宜。</w:t>
      </w:r>
    </w:p>
    <w:p>
      <w:pPr>
        <w:pStyle w:val="17"/>
        <w:tabs>
          <w:tab w:val="left" w:pos="5580"/>
        </w:tabs>
        <w:spacing w:line="360" w:lineRule="auto"/>
        <w:ind w:left="1261" w:hanging="780"/>
        <w:rPr>
          <w:rFonts w:hAnsi="宋体"/>
          <w:sz w:val="24"/>
        </w:rPr>
      </w:pPr>
      <w:r>
        <w:rPr>
          <w:rFonts w:hint="eastAsia" w:hAnsi="宋体"/>
          <w:sz w:val="24"/>
        </w:rPr>
        <w:t>（4）　我方于</w:t>
      </w:r>
      <w:r>
        <w:rPr>
          <w:rFonts w:hint="eastAsia" w:hAnsi="宋体"/>
          <w:sz w:val="24"/>
          <w:u w:val="single"/>
        </w:rPr>
        <w:t>　　　</w:t>
      </w:r>
      <w:r>
        <w:rPr>
          <w:rFonts w:hint="eastAsia" w:hAnsi="宋体"/>
          <w:sz w:val="24"/>
        </w:rPr>
        <w:t>年</w:t>
      </w:r>
      <w:r>
        <w:rPr>
          <w:rFonts w:hint="eastAsia" w:hAnsi="宋体"/>
          <w:sz w:val="24"/>
          <w:u w:val="single"/>
        </w:rPr>
        <w:t>　　　</w:t>
      </w:r>
      <w:r>
        <w:rPr>
          <w:rFonts w:hint="eastAsia" w:hAnsi="宋体"/>
          <w:sz w:val="24"/>
        </w:rPr>
        <w:t>月</w:t>
      </w:r>
      <w:r>
        <w:rPr>
          <w:rFonts w:hint="eastAsia" w:hAnsi="宋体"/>
          <w:sz w:val="24"/>
          <w:u w:val="single"/>
        </w:rPr>
        <w:t>　　　</w:t>
      </w:r>
      <w:r>
        <w:rPr>
          <w:rFonts w:hint="eastAsia" w:hAnsi="宋体"/>
          <w:sz w:val="24"/>
        </w:rPr>
        <w:t>日签署本文件，以此为证。</w:t>
      </w:r>
    </w:p>
    <w:p>
      <w:pPr>
        <w:pStyle w:val="17"/>
        <w:tabs>
          <w:tab w:val="left" w:pos="5580"/>
        </w:tabs>
        <w:spacing w:line="360" w:lineRule="auto"/>
        <w:ind w:firstLine="480"/>
        <w:rPr>
          <w:rFonts w:hAnsi="宋体"/>
          <w:sz w:val="24"/>
        </w:rPr>
      </w:pPr>
    </w:p>
    <w:p>
      <w:pPr>
        <w:pStyle w:val="17"/>
        <w:tabs>
          <w:tab w:val="left" w:pos="5580"/>
        </w:tabs>
        <w:spacing w:line="360" w:lineRule="auto"/>
        <w:ind w:firstLine="480"/>
        <w:rPr>
          <w:rFonts w:hAnsi="宋体"/>
          <w:b/>
          <w:sz w:val="24"/>
        </w:rPr>
      </w:pPr>
    </w:p>
    <w:p>
      <w:pPr>
        <w:pStyle w:val="17"/>
        <w:tabs>
          <w:tab w:val="left" w:pos="5580"/>
        </w:tabs>
        <w:spacing w:line="360" w:lineRule="auto"/>
        <w:ind w:firstLine="480"/>
        <w:rPr>
          <w:rFonts w:hAnsi="宋体"/>
          <w:sz w:val="24"/>
        </w:rPr>
      </w:pPr>
    </w:p>
    <w:p>
      <w:pPr>
        <w:pStyle w:val="17"/>
        <w:tabs>
          <w:tab w:val="left" w:pos="5580"/>
        </w:tabs>
        <w:spacing w:line="360" w:lineRule="auto"/>
        <w:ind w:left="424" w:firstLine="240"/>
        <w:rPr>
          <w:rFonts w:hAnsi="宋体"/>
          <w:sz w:val="24"/>
        </w:rPr>
      </w:pPr>
      <w:r>
        <w:rPr>
          <w:rFonts w:hint="eastAsia" w:hAnsi="宋体"/>
          <w:sz w:val="24"/>
        </w:rPr>
        <w:t>制造商名称（盖章，国外制造商可签字）______________</w:t>
      </w:r>
    </w:p>
    <w:p>
      <w:pPr>
        <w:pStyle w:val="17"/>
        <w:tabs>
          <w:tab w:val="left" w:pos="5580"/>
        </w:tabs>
        <w:spacing w:line="360" w:lineRule="auto"/>
        <w:ind w:left="424" w:firstLine="240"/>
        <w:rPr>
          <w:rFonts w:hAnsi="宋体"/>
          <w:sz w:val="24"/>
        </w:rPr>
      </w:pPr>
    </w:p>
    <w:p>
      <w:pPr>
        <w:pStyle w:val="17"/>
        <w:tabs>
          <w:tab w:val="left" w:pos="5580"/>
        </w:tabs>
        <w:spacing w:line="360" w:lineRule="auto"/>
        <w:ind w:left="424" w:firstLine="240"/>
        <w:rPr>
          <w:rFonts w:hAnsi="宋体"/>
          <w:sz w:val="24"/>
        </w:rPr>
      </w:pPr>
      <w:r>
        <w:rPr>
          <w:rFonts w:hint="eastAsia" w:hAnsi="宋体"/>
          <w:sz w:val="24"/>
        </w:rPr>
        <w:t>注：</w:t>
      </w:r>
    </w:p>
    <w:p>
      <w:pPr>
        <w:pStyle w:val="17"/>
        <w:tabs>
          <w:tab w:val="left" w:pos="5580"/>
        </w:tabs>
        <w:spacing w:line="360" w:lineRule="auto"/>
        <w:ind w:left="424" w:firstLine="240"/>
        <w:rPr>
          <w:rFonts w:hAnsi="宋体"/>
          <w:sz w:val="24"/>
        </w:rPr>
      </w:pPr>
      <w:r>
        <w:rPr>
          <w:rFonts w:hint="eastAsia" w:hAnsi="宋体"/>
          <w:sz w:val="24"/>
        </w:rPr>
        <w:t>1．仅第五章采购需求中明确要求提供制造厂商授权的进口产品必须提供授权书，其它产品不是必须提供。</w:t>
      </w:r>
    </w:p>
    <w:p>
      <w:pPr>
        <w:pStyle w:val="17"/>
        <w:tabs>
          <w:tab w:val="left" w:pos="5580"/>
        </w:tabs>
        <w:spacing w:line="360" w:lineRule="auto"/>
        <w:ind w:left="424" w:firstLine="240"/>
        <w:rPr>
          <w:rFonts w:hAnsi="宋体"/>
          <w:sz w:val="24"/>
        </w:rPr>
      </w:pPr>
      <w:r>
        <w:rPr>
          <w:rFonts w:hint="eastAsia" w:hAnsi="宋体"/>
          <w:sz w:val="24"/>
        </w:rPr>
        <w:t>2．此授权函格式为参考格式，制造商可依据自身实际情况自行出具授权函。如采用此授权函格式，请按照格式要求完整填写各项内容，并由制造商盖章（国外制造商可签字）方为有效。</w:t>
      </w:r>
    </w:p>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360" w:lineRule="auto"/>
        <w:rPr>
          <w:rFonts w:ascii="宋体" w:hAnsi="宋体"/>
          <w:b/>
          <w:sz w:val="24"/>
        </w:rPr>
      </w:pPr>
    </w:p>
    <w:p>
      <w:pPr>
        <w:rPr>
          <w:rFonts w:ascii="宋体" w:hAnsi="宋体"/>
          <w:b/>
          <w:sz w:val="24"/>
        </w:rPr>
      </w:pPr>
    </w:p>
    <w:p>
      <w:pPr>
        <w:pStyle w:val="5"/>
        <w:tabs>
          <w:tab w:val="left" w:pos="5580"/>
        </w:tabs>
        <w:rPr>
          <w:rFonts w:ascii="宋体" w:hAnsi="宋体" w:eastAsia="宋体"/>
          <w:color w:val="000000"/>
          <w:kern w:val="2"/>
          <w:sz w:val="24"/>
          <w:szCs w:val="24"/>
        </w:rPr>
      </w:pPr>
      <w:r>
        <w:rPr>
          <w:rFonts w:hint="eastAsia" w:ascii="宋体" w:hAnsi="宋体" w:eastAsia="宋体"/>
          <w:color w:val="000000"/>
          <w:kern w:val="2"/>
          <w:sz w:val="24"/>
          <w:szCs w:val="24"/>
        </w:rPr>
        <w:t>6-8  招标文件要求的和投标人认为必要的其他资格证明文件</w:t>
      </w:r>
    </w:p>
    <w:p>
      <w:pPr>
        <w:pStyle w:val="5"/>
        <w:spacing w:line="360" w:lineRule="auto"/>
        <w:rPr>
          <w:rFonts w:ascii="宋体" w:hAnsi="宋体" w:eastAsia="宋体"/>
          <w:sz w:val="24"/>
        </w:rPr>
      </w:pPr>
    </w:p>
    <w:p>
      <w:pPr>
        <w:rPr>
          <w:rFonts w:ascii="宋体" w:hAnsi="宋体"/>
          <w:b/>
          <w:bCs/>
          <w:sz w:val="24"/>
        </w:rPr>
      </w:pPr>
      <w:r>
        <w:rPr>
          <w:rFonts w:hint="eastAsia" w:ascii="宋体" w:hAnsi="宋体"/>
          <w:b/>
          <w:bCs/>
          <w:sz w:val="24"/>
        </w:rPr>
        <w:br w:type="page"/>
      </w:r>
    </w:p>
    <w:p>
      <w:pPr>
        <w:pStyle w:val="5"/>
        <w:tabs>
          <w:tab w:val="left" w:pos="5580"/>
        </w:tabs>
        <w:rPr>
          <w:rFonts w:ascii="宋体" w:hAnsi="宋体" w:eastAsia="宋体"/>
          <w:color w:val="000000"/>
          <w:kern w:val="2"/>
          <w:sz w:val="24"/>
          <w:szCs w:val="24"/>
        </w:rPr>
      </w:pPr>
      <w:r>
        <w:rPr>
          <w:rFonts w:hint="eastAsia" w:ascii="宋体" w:hAnsi="宋体" w:eastAsia="宋体"/>
          <w:color w:val="000000"/>
          <w:kern w:val="2"/>
          <w:sz w:val="24"/>
          <w:szCs w:val="24"/>
        </w:rPr>
        <w:t>6-9 代理费承诺书</w:t>
      </w:r>
    </w:p>
    <w:p>
      <w:pPr>
        <w:jc w:val="center"/>
        <w:rPr>
          <w:b/>
        </w:rPr>
      </w:pPr>
    </w:p>
    <w:p>
      <w:pPr>
        <w:spacing w:line="360" w:lineRule="auto"/>
        <w:rPr>
          <w:sz w:val="24"/>
        </w:rPr>
      </w:pPr>
      <w:r>
        <w:rPr>
          <w:rFonts w:hint="eastAsia"/>
          <w:sz w:val="24"/>
        </w:rPr>
        <w:t>致：（采购代理机构）</w:t>
      </w:r>
    </w:p>
    <w:p>
      <w:pPr>
        <w:spacing w:line="360" w:lineRule="auto"/>
        <w:rPr>
          <w:sz w:val="24"/>
        </w:rPr>
      </w:pPr>
    </w:p>
    <w:p>
      <w:pPr>
        <w:spacing w:line="360" w:lineRule="auto"/>
        <w:ind w:firstLine="480" w:firstLineChars="200"/>
        <w:rPr>
          <w:sz w:val="24"/>
        </w:rPr>
      </w:pPr>
      <w:r>
        <w:rPr>
          <w:sz w:val="24"/>
        </w:rPr>
        <w:t>我单位参加贵单位组织采购的项目编号为</w:t>
      </w:r>
      <w:r>
        <w:rPr>
          <w:rFonts w:hint="eastAsia"/>
          <w:sz w:val="24"/>
          <w:u w:val="single"/>
        </w:rPr>
        <w:t xml:space="preserve">          </w:t>
      </w:r>
      <w:r>
        <w:rPr>
          <w:sz w:val="24"/>
        </w:rPr>
        <w:t>的_________项目（填写项目名称）中</w:t>
      </w:r>
      <w:r>
        <w:rPr>
          <w:rFonts w:hint="eastAsia"/>
          <w:sz w:val="24"/>
          <w:u w:val="single"/>
        </w:rPr>
        <w:t xml:space="preserve">     </w:t>
      </w:r>
      <w:r>
        <w:rPr>
          <w:sz w:val="24"/>
        </w:rPr>
        <w:t>包（填写包号）的投标</w:t>
      </w:r>
      <w:r>
        <w:rPr>
          <w:rFonts w:hint="eastAsia"/>
          <w:sz w:val="24"/>
        </w:rPr>
        <w:t>，若获中标，我们保证在领取中标通知书时按招标文件的规定，以支票、电汇或现金等形式，向贵公司一次性支付应该交纳的代理费。</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特此承诺。</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17"/>
        <w:rPr>
          <w:rFonts w:hAnsi="宋体"/>
          <w:sz w:val="24"/>
        </w:rPr>
      </w:pPr>
      <w:r>
        <w:rPr>
          <w:rFonts w:hint="eastAsia" w:hAnsi="宋体"/>
          <w:sz w:val="24"/>
        </w:rPr>
        <w:t>投标人授权代表签字：____________________________</w:t>
      </w:r>
    </w:p>
    <w:p>
      <w:pPr>
        <w:pStyle w:val="17"/>
        <w:rPr>
          <w:rFonts w:hAnsi="宋体"/>
          <w:sz w:val="24"/>
        </w:rPr>
      </w:pPr>
    </w:p>
    <w:p>
      <w:pPr>
        <w:pStyle w:val="17"/>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pPr>
        <w:spacing w:line="360" w:lineRule="auto"/>
        <w:rPr>
          <w:sz w:val="24"/>
          <w:highlight w:val="yellow"/>
        </w:rPr>
      </w:pPr>
      <w:r>
        <w:rPr>
          <w:rFonts w:hint="eastAsia" w:ascii="宋体" w:hAnsi="宋体"/>
          <w:sz w:val="24"/>
        </w:rPr>
        <w:t xml:space="preserve"> </w:t>
      </w:r>
    </w:p>
    <w:p>
      <w:pPr>
        <w:spacing w:line="360" w:lineRule="auto"/>
        <w:rPr>
          <w:sz w:val="24"/>
          <w:u w:val="single"/>
        </w:rPr>
      </w:pPr>
      <w:r>
        <w:rPr>
          <w:rFonts w:hint="eastAsia"/>
          <w:sz w:val="24"/>
        </w:rPr>
        <w:t>日期：</w:t>
      </w:r>
      <w:r>
        <w:rPr>
          <w:sz w:val="24"/>
          <w:u w:val="single"/>
        </w:rPr>
        <w:tab/>
      </w:r>
      <w:r>
        <w:rPr>
          <w:sz w:val="24"/>
          <w:u w:val="single"/>
        </w:rPr>
        <w:tab/>
      </w:r>
      <w:r>
        <w:rPr>
          <w:sz w:val="24"/>
          <w:u w:val="single"/>
        </w:rPr>
        <w:tab/>
      </w:r>
      <w:r>
        <w:rPr>
          <w:sz w:val="24"/>
          <w:u w:val="single"/>
        </w:rPr>
        <w:tab/>
      </w:r>
      <w:r>
        <w:rPr>
          <w:sz w:val="24"/>
          <w:u w:val="single"/>
        </w:rPr>
        <w:tab/>
      </w:r>
    </w:p>
    <w:p>
      <w:pPr>
        <w:rPr>
          <w:b/>
          <w:sz w:val="24"/>
        </w:rPr>
      </w:pPr>
      <w:r>
        <w:rPr>
          <w:b/>
          <w:sz w:val="24"/>
        </w:rPr>
        <w:br w:type="page"/>
      </w:r>
      <w:bookmarkStart w:id="354" w:name="_Toc29609"/>
    </w:p>
    <w:p>
      <w:pPr>
        <w:pStyle w:val="5"/>
        <w:tabs>
          <w:tab w:val="left" w:pos="5580"/>
        </w:tabs>
        <w:rPr>
          <w:rStyle w:val="45"/>
          <w:rFonts w:ascii="宋体" w:hAnsi="宋体" w:eastAsia="宋体"/>
          <w:b/>
          <w:color w:val="000000"/>
          <w:kern w:val="2"/>
          <w:sz w:val="24"/>
          <w:szCs w:val="24"/>
        </w:rPr>
      </w:pPr>
      <w:r>
        <w:rPr>
          <w:rStyle w:val="45"/>
          <w:rFonts w:ascii="宋体" w:hAnsi="宋体" w:eastAsia="宋体"/>
          <w:b/>
          <w:color w:val="000000"/>
          <w:kern w:val="2"/>
          <w:sz w:val="24"/>
          <w:szCs w:val="24"/>
        </w:rPr>
        <w:t>7   业绩证明材料</w:t>
      </w:r>
    </w:p>
    <w:bookmarkEnd w:id="354"/>
    <w:p>
      <w:pPr>
        <w:pStyle w:val="2"/>
        <w:ind w:firstLine="482"/>
        <w:rPr>
          <w:rStyle w:val="45"/>
          <w:rFonts w:ascii="宋体" w:hAnsi="宋体" w:eastAsia="宋体" w:cs="宋体"/>
          <w:sz w:val="24"/>
        </w:rPr>
      </w:pPr>
    </w:p>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spacing w:line="360" w:lineRule="auto"/>
              <w:rPr>
                <w:b/>
              </w:rPr>
            </w:pPr>
            <w:r>
              <w:rPr>
                <w:rFonts w:hint="eastAsia"/>
                <w:b/>
              </w:rPr>
              <w:t>序号</w:t>
            </w:r>
          </w:p>
        </w:tc>
        <w:tc>
          <w:tcPr>
            <w:tcW w:w="1411" w:type="dxa"/>
            <w:vAlign w:val="center"/>
          </w:tcPr>
          <w:p>
            <w:pPr>
              <w:spacing w:line="360" w:lineRule="auto"/>
              <w:rPr>
                <w:b/>
              </w:rPr>
            </w:pPr>
            <w:r>
              <w:rPr>
                <w:rFonts w:hint="eastAsia"/>
                <w:b/>
              </w:rPr>
              <w:t>项目名称</w:t>
            </w:r>
          </w:p>
        </w:tc>
        <w:tc>
          <w:tcPr>
            <w:tcW w:w="1260" w:type="dxa"/>
            <w:vAlign w:val="center"/>
          </w:tcPr>
          <w:p>
            <w:pPr>
              <w:spacing w:line="360" w:lineRule="auto"/>
              <w:rPr>
                <w:b/>
              </w:rPr>
            </w:pPr>
            <w:r>
              <w:rPr>
                <w:rFonts w:hint="eastAsia"/>
                <w:b/>
              </w:rPr>
              <w:t>用户名称</w:t>
            </w:r>
          </w:p>
        </w:tc>
        <w:tc>
          <w:tcPr>
            <w:tcW w:w="1260" w:type="dxa"/>
            <w:vAlign w:val="center"/>
          </w:tcPr>
          <w:p>
            <w:pPr>
              <w:spacing w:line="360" w:lineRule="auto"/>
              <w:rPr>
                <w:b/>
              </w:rPr>
            </w:pPr>
            <w:r>
              <w:rPr>
                <w:rFonts w:hint="eastAsia"/>
                <w:b/>
              </w:rPr>
              <w:t>合同金额</w:t>
            </w:r>
          </w:p>
        </w:tc>
        <w:tc>
          <w:tcPr>
            <w:tcW w:w="1440" w:type="dxa"/>
            <w:vAlign w:val="center"/>
          </w:tcPr>
          <w:p>
            <w:pPr>
              <w:spacing w:line="360" w:lineRule="auto"/>
              <w:rPr>
                <w:b/>
              </w:rPr>
            </w:pPr>
            <w:r>
              <w:rPr>
                <w:rFonts w:hint="eastAsia"/>
                <w:b/>
              </w:rPr>
              <w:t>用户联系人及联系方式</w:t>
            </w:r>
          </w:p>
        </w:tc>
        <w:tc>
          <w:tcPr>
            <w:tcW w:w="1778" w:type="dxa"/>
            <w:vAlign w:val="center"/>
          </w:tcPr>
          <w:p>
            <w:pPr>
              <w:spacing w:line="360" w:lineRule="auto"/>
              <w:rPr>
                <w:b/>
              </w:rPr>
            </w:pPr>
            <w:r>
              <w:rPr>
                <w:rFonts w:hint="eastAsia"/>
                <w:b/>
              </w:rPr>
              <w:t>合同签订日期</w:t>
            </w:r>
          </w:p>
        </w:tc>
        <w:tc>
          <w:tcPr>
            <w:tcW w:w="1038" w:type="dxa"/>
            <w:vAlign w:val="center"/>
          </w:tcPr>
          <w:p>
            <w:pPr>
              <w:spacing w:line="360" w:lineRule="auto"/>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360" w:lineRule="auto"/>
              <w:jc w:val="center"/>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360" w:lineRule="auto"/>
            </w:pPr>
          </w:p>
        </w:tc>
        <w:tc>
          <w:tcPr>
            <w:tcW w:w="1411" w:type="dxa"/>
            <w:vAlign w:val="center"/>
          </w:tcPr>
          <w:p>
            <w:pPr>
              <w:spacing w:line="360" w:lineRule="auto"/>
            </w:pPr>
          </w:p>
        </w:tc>
        <w:tc>
          <w:tcPr>
            <w:tcW w:w="1260" w:type="dxa"/>
            <w:vAlign w:val="center"/>
          </w:tcPr>
          <w:p>
            <w:pPr>
              <w:spacing w:line="360" w:lineRule="auto"/>
            </w:pPr>
          </w:p>
        </w:tc>
        <w:tc>
          <w:tcPr>
            <w:tcW w:w="1260" w:type="dxa"/>
            <w:vAlign w:val="center"/>
          </w:tcPr>
          <w:p>
            <w:pPr>
              <w:spacing w:line="360" w:lineRule="auto"/>
            </w:pPr>
          </w:p>
        </w:tc>
        <w:tc>
          <w:tcPr>
            <w:tcW w:w="1440" w:type="dxa"/>
            <w:vAlign w:val="center"/>
          </w:tcPr>
          <w:p>
            <w:pPr>
              <w:spacing w:line="360" w:lineRule="auto"/>
            </w:pPr>
          </w:p>
        </w:tc>
        <w:tc>
          <w:tcPr>
            <w:tcW w:w="1778" w:type="dxa"/>
            <w:vAlign w:val="center"/>
          </w:tcPr>
          <w:p>
            <w:pPr>
              <w:spacing w:line="360" w:lineRule="auto"/>
            </w:pPr>
          </w:p>
        </w:tc>
        <w:tc>
          <w:tcPr>
            <w:tcW w:w="1038" w:type="dxa"/>
            <w:vAlign w:val="center"/>
          </w:tcPr>
          <w:p>
            <w:pPr>
              <w:spacing w:line="360" w:lineRule="auto"/>
            </w:pPr>
          </w:p>
        </w:tc>
      </w:tr>
    </w:tbl>
    <w:p>
      <w:pPr>
        <w:pStyle w:val="17"/>
        <w:rPr>
          <w:rFonts w:hAnsi="宋体"/>
          <w:sz w:val="24"/>
        </w:rPr>
      </w:pPr>
      <w:r>
        <w:rPr>
          <w:rFonts w:hint="eastAsia" w:hAnsi="宋体"/>
          <w:sz w:val="24"/>
        </w:rPr>
        <w:t>投标人授权代表签字：____________________________</w:t>
      </w:r>
    </w:p>
    <w:p>
      <w:pPr>
        <w:pStyle w:val="17"/>
        <w:rPr>
          <w:rFonts w:hAnsi="宋体"/>
          <w:sz w:val="24"/>
        </w:rPr>
      </w:pPr>
    </w:p>
    <w:p>
      <w:pPr>
        <w:pStyle w:val="17"/>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pPr>
        <w:pStyle w:val="17"/>
        <w:spacing w:line="360" w:lineRule="auto"/>
        <w:rPr>
          <w:rFonts w:hAnsi="Times New Roman"/>
          <w:b/>
          <w:bCs/>
          <w:sz w:val="24"/>
          <w:szCs w:val="24"/>
        </w:rPr>
      </w:pPr>
    </w:p>
    <w:p>
      <w:pPr>
        <w:pStyle w:val="5"/>
        <w:tabs>
          <w:tab w:val="left" w:pos="5580"/>
        </w:tabs>
        <w:jc w:val="left"/>
        <w:rPr>
          <w:rStyle w:val="62"/>
          <w:rFonts w:ascii="宋体" w:hAnsi="宋体" w:eastAsia="宋体"/>
          <w:b/>
          <w:color w:val="000000"/>
          <w:kern w:val="2"/>
          <w:sz w:val="24"/>
          <w:szCs w:val="24"/>
        </w:rPr>
      </w:pPr>
      <w:r>
        <w:rPr>
          <w:rFonts w:hint="eastAsia" w:ascii="宋体" w:hAnsi="宋体" w:eastAsia="宋体" w:cs="宋体"/>
          <w:sz w:val="24"/>
          <w:szCs w:val="24"/>
        </w:rPr>
        <w:t>注：应提供合同复印件（具体要求详见第四章评标程序、评标方法和评标标准）。提供的复印件不符合要求的，在评标时不予考虑。评委保留对上述资料原件审核的权力。</w:t>
      </w:r>
      <w:r>
        <w:rPr>
          <w:rFonts w:hint="eastAsia" w:ascii="宋体" w:hAnsi="宋体" w:eastAsia="宋体" w:cs="宋体"/>
          <w:sz w:val="24"/>
          <w:szCs w:val="24"/>
        </w:rPr>
        <w:br w:type="page"/>
      </w:r>
    </w:p>
    <w:p>
      <w:pPr>
        <w:pStyle w:val="5"/>
        <w:tabs>
          <w:tab w:val="left" w:pos="5580"/>
        </w:tabs>
        <w:rPr>
          <w:rStyle w:val="62"/>
          <w:rFonts w:ascii="宋体" w:hAnsi="宋体" w:eastAsia="宋体"/>
          <w:b/>
          <w:color w:val="000000"/>
          <w:kern w:val="2"/>
          <w:sz w:val="24"/>
          <w:szCs w:val="24"/>
        </w:rPr>
      </w:pPr>
      <w:r>
        <w:rPr>
          <w:rStyle w:val="62"/>
          <w:rFonts w:hint="eastAsia" w:ascii="宋体" w:hAnsi="宋体" w:eastAsia="宋体"/>
          <w:b/>
          <w:color w:val="000000"/>
          <w:kern w:val="2"/>
          <w:sz w:val="24"/>
          <w:szCs w:val="24"/>
        </w:rPr>
        <w:t>8   中小企业声明函</w:t>
      </w:r>
    </w:p>
    <w:p>
      <w:pPr>
        <w:tabs>
          <w:tab w:val="left" w:pos="5580"/>
        </w:tabs>
        <w:spacing w:line="360" w:lineRule="auto"/>
        <w:ind w:firstLine="964" w:firstLineChars="400"/>
        <w:jc w:val="center"/>
        <w:rPr>
          <w:rFonts w:ascii="宋体" w:hAnsi="宋体" w:cs="宋体"/>
          <w:b/>
          <w:bCs/>
          <w:sz w:val="24"/>
        </w:rPr>
      </w:pPr>
    </w:p>
    <w:p>
      <w:pPr>
        <w:tabs>
          <w:tab w:val="left" w:pos="5580"/>
        </w:tabs>
        <w:spacing w:line="360" w:lineRule="auto"/>
        <w:rPr>
          <w:rFonts w:ascii="宋体" w:hAnsi="宋体"/>
          <w:sz w:val="24"/>
        </w:rPr>
      </w:pPr>
      <w:r>
        <w:rPr>
          <w:rFonts w:hint="eastAsia" w:ascii="宋体" w:hAnsi="宋体"/>
          <w:sz w:val="24"/>
        </w:rPr>
        <w:t>说明：</w:t>
      </w:r>
    </w:p>
    <w:p>
      <w:pPr>
        <w:numPr>
          <w:ilvl w:val="0"/>
          <w:numId w:val="15"/>
        </w:numPr>
        <w:tabs>
          <w:tab w:val="left" w:pos="5580"/>
        </w:tabs>
        <w:spacing w:line="360" w:lineRule="auto"/>
        <w:rPr>
          <w:rFonts w:ascii="宋体" w:hAnsi="宋体"/>
          <w:b/>
          <w:bCs/>
          <w:sz w:val="24"/>
        </w:rPr>
      </w:pPr>
      <w:r>
        <w:rPr>
          <w:rFonts w:hint="eastAsia"/>
          <w:b/>
          <w:bCs/>
          <w:sz w:val="24"/>
        </w:rPr>
        <w:t>在第一章投标邀请中规定了本项目是否专门面向中小/小微企业采购，如无明确规定，即为非专门面向中小企业和小微企业采购。监狱企业和残疾人福利性单位视同小微企业。</w:t>
      </w:r>
      <w:r>
        <w:rPr>
          <w:b/>
          <w:bCs/>
          <w:sz w:val="24"/>
        </w:rPr>
        <w:t>如本项目（包）专门面向中小/小微企业采购，须提供《中小企业声明函》</w:t>
      </w:r>
      <w:r>
        <w:rPr>
          <w:b/>
          <w:bCs/>
          <w:color w:val="000000"/>
          <w:sz w:val="24"/>
          <w:szCs w:val="20"/>
        </w:rPr>
        <w:t>（实质性格式）</w:t>
      </w:r>
      <w:r>
        <w:rPr>
          <w:rFonts w:hint="eastAsia"/>
          <w:b/>
          <w:bCs/>
          <w:color w:val="000000"/>
          <w:sz w:val="24"/>
          <w:szCs w:val="20"/>
        </w:rPr>
        <w:t>，并作为资格审查的内容。非专门面向中小企业和小微企业采购的项目，投标人如是中小企业，可提供“中小企业声明函”，按第四章的说明执行评标价格扣除。</w:t>
      </w:r>
      <w:r>
        <w:rPr>
          <w:rFonts w:hint="eastAsia"/>
          <w:b/>
          <w:bCs/>
          <w:color w:val="FF0000"/>
          <w:sz w:val="24"/>
          <w:szCs w:val="20"/>
        </w:rPr>
        <w:t>（本项目为专门面向</w:t>
      </w:r>
      <w:r>
        <w:rPr>
          <w:rFonts w:hint="eastAsia"/>
          <w:b/>
          <w:bCs/>
          <w:color w:val="FF0000"/>
          <w:sz w:val="24"/>
          <w:szCs w:val="20"/>
          <w:lang w:val="en-US" w:eastAsia="zh-CN"/>
        </w:rPr>
        <w:t>小微</w:t>
      </w:r>
      <w:r>
        <w:rPr>
          <w:rFonts w:hint="eastAsia"/>
          <w:b/>
          <w:bCs/>
          <w:color w:val="FF0000"/>
          <w:sz w:val="24"/>
          <w:szCs w:val="20"/>
        </w:rPr>
        <w:t>企业的项目，必须提供）</w:t>
      </w:r>
    </w:p>
    <w:p>
      <w:pPr>
        <w:numPr>
          <w:ilvl w:val="0"/>
          <w:numId w:val="15"/>
        </w:numPr>
        <w:tabs>
          <w:tab w:val="left" w:pos="5580"/>
        </w:tabs>
        <w:spacing w:line="360" w:lineRule="auto"/>
        <w:rPr>
          <w:rFonts w:ascii="宋体" w:hAnsi="宋体"/>
          <w:sz w:val="24"/>
        </w:rPr>
      </w:pPr>
      <w:r>
        <w:rPr>
          <w:rFonts w:hint="eastAsia" w:ascii="宋体" w:hAnsi="宋体"/>
          <w:sz w:val="24"/>
        </w:rPr>
        <w:t>中小企业参加采购活动，应当出具此格式文件。《中小企业声明函》由参加采购活动的投标人出具。联合体投标的，《中小企业声明函》由牵头人出具。</w:t>
      </w:r>
    </w:p>
    <w:p>
      <w:pPr>
        <w:tabs>
          <w:tab w:val="left" w:pos="5580"/>
        </w:tabs>
        <w:spacing w:line="360" w:lineRule="auto"/>
        <w:rPr>
          <w:rFonts w:ascii="宋体" w:hAnsi="宋体"/>
          <w:sz w:val="24"/>
        </w:rPr>
      </w:pPr>
      <w:r>
        <w:rPr>
          <w:rFonts w:hint="eastAsia"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ascii="宋体" w:hAnsi="宋体"/>
          <w:sz w:val="24"/>
        </w:rPr>
      </w:pPr>
      <w:r>
        <w:rPr>
          <w:rFonts w:hint="eastAsia" w:ascii="宋体" w:hAnsi="宋体"/>
          <w:sz w:val="24"/>
        </w:rPr>
        <w:t>3）对于多标的的采购项目，投标人应充分、准确地了解所投产品制造企业信息。对相关情况了解不清楚的，不建议填报本声明函。</w:t>
      </w:r>
    </w:p>
    <w:p>
      <w:pPr>
        <w:tabs>
          <w:tab w:val="left" w:pos="5580"/>
        </w:tabs>
        <w:spacing w:line="360" w:lineRule="auto"/>
        <w:rPr>
          <w:rFonts w:ascii="宋体" w:hAnsi="宋体"/>
          <w:sz w:val="24"/>
        </w:rPr>
      </w:pPr>
      <w:r>
        <w:rPr>
          <w:rFonts w:hint="eastAsia" w:ascii="宋体" w:hAnsi="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tabs>
          <w:tab w:val="left" w:pos="5580"/>
        </w:tabs>
        <w:spacing w:line="360" w:lineRule="auto"/>
        <w:rPr>
          <w:rFonts w:ascii="宋体" w:hAnsi="宋体" w:cs="宋体"/>
          <w:b/>
          <w:bCs/>
          <w:sz w:val="24"/>
        </w:rPr>
      </w:pPr>
      <w:r>
        <w:rPr>
          <w:rFonts w:hint="eastAsia" w:ascii="宋体" w:hAnsi="宋体" w:cs="宋体"/>
          <w:b/>
          <w:bCs/>
          <w:sz w:val="24"/>
        </w:rPr>
        <w:br w:type="page"/>
      </w:r>
    </w:p>
    <w:p>
      <w:pPr>
        <w:spacing w:before="312" w:beforeLines="100" w:after="312" w:afterLines="100" w:line="360" w:lineRule="auto"/>
        <w:jc w:val="center"/>
        <w:rPr>
          <w:b/>
          <w:bCs/>
          <w:color w:val="000000"/>
          <w:sz w:val="36"/>
          <w:szCs w:val="36"/>
        </w:rPr>
      </w:pPr>
      <w:r>
        <w:rPr>
          <w:rFonts w:hint="eastAsia"/>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3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8"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312" w:beforeLines="100" w:after="312"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pStyle w:val="5"/>
        <w:tabs>
          <w:tab w:val="left" w:pos="5580"/>
        </w:tabs>
        <w:rPr>
          <w:rStyle w:val="62"/>
          <w:rFonts w:ascii="宋体" w:hAnsi="宋体" w:eastAsia="宋体"/>
          <w:b/>
          <w:color w:val="000000"/>
          <w:kern w:val="2"/>
          <w:sz w:val="24"/>
          <w:szCs w:val="24"/>
        </w:rPr>
      </w:pPr>
      <w:r>
        <w:rPr>
          <w:rStyle w:val="62"/>
          <w:rFonts w:hint="eastAsia" w:ascii="宋体" w:hAnsi="宋体" w:eastAsia="宋体"/>
          <w:b/>
          <w:color w:val="000000"/>
          <w:kern w:val="2"/>
          <w:sz w:val="24"/>
          <w:szCs w:val="24"/>
        </w:rPr>
        <w:t>9   招标文件要求的和投标人认为必要的其它文件</w:t>
      </w:r>
    </w:p>
    <w:p>
      <w:pPr>
        <w:pStyle w:val="17"/>
        <w:spacing w:line="360" w:lineRule="auto"/>
        <w:ind w:firstLine="843" w:firstLineChars="400"/>
        <w:jc w:val="center"/>
        <w:rPr>
          <w:b/>
        </w:rPr>
      </w:pPr>
    </w:p>
    <w:p>
      <w:pPr>
        <w:pStyle w:val="17"/>
        <w:spacing w:line="360" w:lineRule="auto"/>
        <w:ind w:firstLine="843" w:firstLineChars="400"/>
        <w:jc w:val="center"/>
        <w:rPr>
          <w:b/>
        </w:rPr>
      </w:pPr>
    </w:p>
    <w:p>
      <w:pPr>
        <w:pStyle w:val="17"/>
        <w:spacing w:line="360" w:lineRule="auto"/>
        <w:ind w:firstLine="843" w:firstLineChars="400"/>
        <w:jc w:val="center"/>
        <w:rPr>
          <w:b/>
        </w:rPr>
      </w:pPr>
    </w:p>
    <w:p>
      <w:pPr>
        <w:pStyle w:val="17"/>
        <w:spacing w:line="360" w:lineRule="auto"/>
        <w:ind w:firstLine="843" w:firstLineChars="400"/>
        <w:jc w:val="center"/>
        <w:rPr>
          <w:b/>
        </w:rPr>
      </w:pPr>
    </w:p>
    <w:p>
      <w:pPr>
        <w:spacing w:line="360" w:lineRule="auto"/>
        <w:ind w:left="719" w:leftChars="228" w:hanging="240" w:hangingChars="100"/>
        <w:rPr>
          <w:sz w:val="24"/>
        </w:rPr>
      </w:pPr>
    </w:p>
    <w:p>
      <w:pPr>
        <w:pStyle w:val="28"/>
        <w:spacing w:before="0" w:beforeAutospacing="0" w:after="0" w:afterAutospacing="0" w:line="360" w:lineRule="auto"/>
        <w:rPr>
          <w:rFonts w:cs="Arial"/>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Blac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ShuM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Q0objCAQAAjQMAAA4AAAAAAAAAAQAgAAAAHgEAAGRycy9lMm9Eb2MueG1sUEsF&#10;BgAAAAAGAAYAWQEAAFI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8"/>
      </w:rPr>
    </w:pPr>
    <w:r>
      <w:rPr>
        <w:rStyle w:val="38"/>
      </w:rPr>
      <w:fldChar w:fldCharType="begin"/>
    </w:r>
    <w:r>
      <w:rPr>
        <w:rStyle w:val="38"/>
      </w:rPr>
      <w:instrText xml:space="preserve">PAGE  </w:instrText>
    </w:r>
    <w:r>
      <w:rPr>
        <w:rStyle w:val="38"/>
      </w:rPr>
      <w:fldChar w:fldCharType="end"/>
    </w:r>
  </w:p>
  <w:p>
    <w:pPr>
      <w:pStyle w:val="2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p>
    <w:pPr>
      <w:pStyle w:val="21"/>
      <w:rPr>
        <w:rStyle w:val="38"/>
      </w:rPr>
    </w:pPr>
  </w:p>
  <w:p>
    <w:pPr>
      <w:pStyle w:val="21"/>
      <w:rPr>
        <w:rStyle w:val="38"/>
      </w:rPr>
    </w:pPr>
  </w:p>
  <w:p>
    <w:pPr>
      <w:pStyle w:val="21"/>
      <w:ind w:right="360"/>
      <w:rPr>
        <w:rStyle w:val="38"/>
      </w:rPr>
    </w:pPr>
  </w:p>
  <w:p>
    <w:pPr>
      <w:pStyle w:val="21"/>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fldChar w:fldCharType="begin"/>
    </w:r>
    <w:r>
      <w:rPr>
        <w:rStyle w:val="38"/>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p>
    <w:pPr>
      <w:pStyle w:val="21"/>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iYzM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JYmMzCAQAAjQMAAA4AAAAAAAAAAQAgAAAAHgEAAGRycy9lMm9Eb2MueG1sUEsF&#10;BgAAAAAGAAYAWQEAAFI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1C"/>
    <w:multiLevelType w:val="multilevel"/>
    <w:tmpl w:val="0000001C"/>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56C41B9"/>
    <w:multiLevelType w:val="multilevel"/>
    <w:tmpl w:val="056C41B9"/>
    <w:lvl w:ilvl="0" w:tentative="0">
      <w:start w:val="1"/>
      <w:numFmt w:val="decimal"/>
      <w:pStyle w:val="95"/>
      <w:lvlText w:val="图 %1."/>
      <w:lvlJc w:val="center"/>
      <w:pPr>
        <w:tabs>
          <w:tab w:val="left" w:pos="648"/>
        </w:tabs>
        <w:ind w:left="170" w:firstLine="11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29C0E3"/>
    <w:multiLevelType w:val="singleLevel"/>
    <w:tmpl w:val="0629C0E3"/>
    <w:lvl w:ilvl="0" w:tentative="0">
      <w:start w:val="2"/>
      <w:numFmt w:val="chineseCounting"/>
      <w:suff w:val="nothing"/>
      <w:lvlText w:val="（%1）"/>
      <w:lvlJc w:val="left"/>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7A70CCB"/>
    <w:multiLevelType w:val="multilevel"/>
    <w:tmpl w:val="17A70CCB"/>
    <w:lvl w:ilvl="0" w:tentative="0">
      <w:start w:val="1"/>
      <w:numFmt w:val="bullet"/>
      <w:pStyle w:val="130"/>
      <w:lvlText w:val=""/>
      <w:lvlJc w:val="left"/>
      <w:pPr>
        <w:tabs>
          <w:tab w:val="left" w:pos="620"/>
        </w:tabs>
        <w:ind w:left="6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226BC9"/>
    <w:multiLevelType w:val="singleLevel"/>
    <w:tmpl w:val="23226BC9"/>
    <w:lvl w:ilvl="0" w:tentative="0">
      <w:start w:val="3"/>
      <w:numFmt w:val="decimal"/>
      <w:lvlText w:val="%1."/>
      <w:lvlJc w:val="left"/>
      <w:pPr>
        <w:tabs>
          <w:tab w:val="left" w:pos="312"/>
        </w:tabs>
      </w:pPr>
    </w:lvl>
  </w:abstractNum>
  <w:abstractNum w:abstractNumId="7">
    <w:nsid w:val="3DA75E8D"/>
    <w:multiLevelType w:val="multilevel"/>
    <w:tmpl w:val="3DA75E8D"/>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40642345"/>
    <w:multiLevelType w:val="singleLevel"/>
    <w:tmpl w:val="40642345"/>
    <w:lvl w:ilvl="0" w:tentative="0">
      <w:start w:val="1"/>
      <w:numFmt w:val="decimal"/>
      <w:suff w:val="nothing"/>
      <w:lvlText w:val="%1）"/>
      <w:lvlJc w:val="left"/>
    </w:lvl>
  </w:abstractNum>
  <w:abstractNum w:abstractNumId="9">
    <w:nsid w:val="4E7107F0"/>
    <w:multiLevelType w:val="multilevel"/>
    <w:tmpl w:val="4E7107F0"/>
    <w:lvl w:ilvl="0" w:tentative="0">
      <w:start w:val="1"/>
      <w:numFmt w:val="bullet"/>
      <w:pStyle w:val="14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lvl>
    <w:lvl w:ilvl="2" w:tentative="0">
      <w:start w:val="1"/>
      <w:numFmt w:val="decimal"/>
      <w:suff w:val="nothing"/>
      <w:lvlText w:val="%1.%2.%3 "/>
      <w:lvlJc w:val="left"/>
      <w:pPr>
        <w:ind w:left="420" w:firstLine="0"/>
      </w:pPr>
    </w:lvl>
    <w:lvl w:ilvl="3" w:tentative="0">
      <w:start w:val="1"/>
      <w:numFmt w:val="decimal"/>
      <w:suff w:val="nothing"/>
      <w:lvlText w:val="%1.%2.%3.%4 "/>
      <w:lvlJc w:val="left"/>
      <w:pPr>
        <w:ind w:left="420" w:firstLine="0"/>
      </w:pPr>
    </w:lvl>
    <w:lvl w:ilvl="4" w:tentative="0">
      <w:start w:val="1"/>
      <w:numFmt w:val="decimal"/>
      <w:suff w:val="nothing"/>
      <w:lvlText w:val="%1.%2.%3.%4.%5 "/>
      <w:lvlJc w:val="left"/>
      <w:pPr>
        <w:ind w:left="420" w:firstLine="0"/>
      </w:pPr>
    </w:lvl>
    <w:lvl w:ilvl="5" w:tentative="0">
      <w:start w:val="1"/>
      <w:numFmt w:val="decimal"/>
      <w:suff w:val="nothing"/>
      <w:lvlText w:val="%1.%2.%3.%4.%5.%6 "/>
      <w:lvlJc w:val="left"/>
      <w:pPr>
        <w:ind w:left="420" w:firstLine="0"/>
      </w:pPr>
    </w:lvl>
    <w:lvl w:ilvl="6" w:tentative="0">
      <w:start w:val="1"/>
      <w:numFmt w:val="decimal"/>
      <w:suff w:val="nothing"/>
      <w:lvlText w:val="%7."/>
      <w:lvlJc w:val="left"/>
      <w:pPr>
        <w:ind w:left="420" w:firstLine="0"/>
      </w:pPr>
    </w:lvl>
    <w:lvl w:ilvl="7" w:tentative="0">
      <w:start w:val="1"/>
      <w:numFmt w:val="none"/>
      <w:suff w:val="nothing"/>
      <w:lvlText w:val=""/>
      <w:lvlJc w:val="left"/>
      <w:pPr>
        <w:ind w:left="420" w:firstLine="0"/>
      </w:pPr>
    </w:lvl>
    <w:lvl w:ilvl="8" w:tentative="0">
      <w:start w:val="1"/>
      <w:numFmt w:val="none"/>
      <w:suff w:val="nothing"/>
      <w:lvlText w:val=""/>
      <w:lvlJc w:val="left"/>
      <w:pPr>
        <w:ind w:left="420" w:firstLine="0"/>
      </w:pPr>
    </w:lvl>
  </w:abstractNum>
  <w:abstractNum w:abstractNumId="10">
    <w:nsid w:val="5495164A"/>
    <w:multiLevelType w:val="multilevel"/>
    <w:tmpl w:val="5495164A"/>
    <w:lvl w:ilvl="0" w:tentative="0">
      <w:start w:val="1"/>
      <w:numFmt w:val="bullet"/>
      <w:pStyle w:val="120"/>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21D3DF3"/>
    <w:multiLevelType w:val="multilevel"/>
    <w:tmpl w:val="621D3DF3"/>
    <w:lvl w:ilvl="0" w:tentative="0">
      <w:start w:val="1"/>
      <w:numFmt w:val="bullet"/>
      <w:pStyle w:val="90"/>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6797217"/>
    <w:multiLevelType w:val="multilevel"/>
    <w:tmpl w:val="66797217"/>
    <w:lvl w:ilvl="0" w:tentative="0">
      <w:start w:val="1"/>
      <w:numFmt w:val="decimal"/>
      <w:pStyle w:val="134"/>
      <w:lvlText w:val="表 %1."/>
      <w:lvlJc w:val="center"/>
      <w:pPr>
        <w:tabs>
          <w:tab w:val="left" w:pos="648"/>
        </w:tabs>
        <w:ind w:left="0" w:firstLine="28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76E144D"/>
    <w:multiLevelType w:val="singleLevel"/>
    <w:tmpl w:val="676E144D"/>
    <w:lvl w:ilvl="0" w:tentative="0">
      <w:start w:val="1"/>
      <w:numFmt w:val="decimal"/>
      <w:suff w:val="nothing"/>
      <w:lvlText w:val="%1）"/>
      <w:lvlJc w:val="left"/>
    </w:lvl>
  </w:abstractNum>
  <w:abstractNum w:abstractNumId="14">
    <w:nsid w:val="7C312507"/>
    <w:multiLevelType w:val="multilevel"/>
    <w:tmpl w:val="7C312507"/>
    <w:lvl w:ilvl="0" w:tentative="0">
      <w:start w:val="1"/>
      <w:numFmt w:val="chineseCountingThousand"/>
      <w:suff w:val="nothing"/>
      <w:lvlText w:val="%1、"/>
      <w:lvlJc w:val="left"/>
      <w:pPr>
        <w:ind w:left="0" w:firstLine="0"/>
      </w:pPr>
      <w:rPr>
        <w:rFonts w:hint="eastAsia"/>
      </w:rPr>
    </w:lvl>
    <w:lvl w:ilvl="1" w:tentative="0">
      <w:start w:val="1"/>
      <w:numFmt w:val="decimal"/>
      <w:isLgl/>
      <w:suff w:val="nothing"/>
      <w:lvlText w:val="%1.%2、"/>
      <w:lvlJc w:val="left"/>
      <w:pPr>
        <w:ind w:left="4961" w:firstLine="0"/>
      </w:pPr>
      <w:rPr>
        <w:rFonts w:hint="eastAsia"/>
      </w:rPr>
    </w:lvl>
    <w:lvl w:ilvl="2" w:tentative="0">
      <w:start w:val="1"/>
      <w:numFmt w:val="decimal"/>
      <w:isLgl/>
      <w:suff w:val="nothing"/>
      <w:lvlText w:val="%1.%2.%3、"/>
      <w:lvlJc w:val="left"/>
      <w:pPr>
        <w:ind w:left="0" w:firstLine="0"/>
      </w:pPr>
      <w:rPr>
        <w:rFonts w:hint="eastAsia"/>
      </w:rPr>
    </w:lvl>
    <w:lvl w:ilvl="3" w:tentative="0">
      <w:start w:val="1"/>
      <w:numFmt w:val="decimal"/>
      <w:isLgl/>
      <w:suff w:val="nothing"/>
      <w:lvlText w:val="%1.%2.%3.%4、"/>
      <w:lvlJc w:val="left"/>
      <w:pPr>
        <w:ind w:left="0" w:firstLine="0"/>
      </w:pPr>
      <w:rPr>
        <w:rFonts w:hint="eastAsia"/>
      </w:rPr>
    </w:lvl>
    <w:lvl w:ilvl="4" w:tentative="0">
      <w:start w:val="1"/>
      <w:numFmt w:val="decimal"/>
      <w:isLgl/>
      <w:suff w:val="nothing"/>
      <w:lvlText w:val="%1.%2.%3.%4.%5、"/>
      <w:lvlJc w:val="left"/>
      <w:pPr>
        <w:ind w:left="0" w:firstLine="0"/>
      </w:pPr>
      <w:rPr>
        <w:rFonts w:hint="eastAsia"/>
      </w:rPr>
    </w:lvl>
    <w:lvl w:ilvl="5" w:tentative="0">
      <w:start w:val="1"/>
      <w:numFmt w:val="decimal"/>
      <w:isLgl/>
      <w:suff w:val="nothing"/>
      <w:lvlText w:val="%1.%2.%3.%4.%5.%6、"/>
      <w:lvlJc w:val="left"/>
      <w:pPr>
        <w:ind w:left="0" w:firstLine="0"/>
      </w:pPr>
      <w:rPr>
        <w:rFonts w:hint="eastAsia"/>
      </w:rPr>
    </w:lvl>
    <w:lvl w:ilvl="6" w:tentative="0">
      <w:start w:val="1"/>
      <w:numFmt w:val="decimal"/>
      <w:isLgl/>
      <w:suff w:val="nothing"/>
      <w:lvlText w:val="%1.%2.%3.%4.%5.%6.%7、"/>
      <w:lvlJc w:val="left"/>
      <w:pPr>
        <w:ind w:left="0" w:firstLine="0"/>
      </w:pPr>
      <w:rPr>
        <w:rFonts w:hint="eastAsia"/>
      </w:rPr>
    </w:lvl>
    <w:lvl w:ilvl="7" w:tentative="0">
      <w:start w:val="1"/>
      <w:numFmt w:val="decimal"/>
      <w:isLgl/>
      <w:suff w:val="nothing"/>
      <w:lvlText w:val="%1.%2.%3.%4.%5.%6.%7.%8、"/>
      <w:lvlJc w:val="left"/>
      <w:pPr>
        <w:ind w:left="0" w:firstLine="0"/>
      </w:pPr>
      <w:rPr>
        <w:rFonts w:hint="eastAsia"/>
      </w:rPr>
    </w:lvl>
    <w:lvl w:ilvl="8" w:tentative="0">
      <w:start w:val="1"/>
      <w:numFmt w:val="decimal"/>
      <w:isLgl/>
      <w:suff w:val="nothing"/>
      <w:lvlText w:val="%1.%2.%3.%4.%5.%6.%7.%8.%9、"/>
      <w:lvlJc w:val="left"/>
      <w:pPr>
        <w:ind w:left="0" w:firstLine="0"/>
      </w:pPr>
      <w:rPr>
        <w:rFonts w:hint="eastAsia"/>
      </w:rPr>
    </w:lvl>
  </w:abstractNum>
  <w:num w:numId="1">
    <w:abstractNumId w:val="11"/>
  </w:num>
  <w:num w:numId="2">
    <w:abstractNumId w:val="2"/>
  </w:num>
  <w:num w:numId="3">
    <w:abstractNumId w:val="10"/>
  </w:num>
  <w:num w:numId="4">
    <w:abstractNumId w:val="5"/>
  </w:num>
  <w:num w:numId="5">
    <w:abstractNumId w:val="12"/>
  </w:num>
  <w:num w:numId="6">
    <w:abstractNumId w:val="9"/>
  </w:num>
  <w:num w:numId="7">
    <w:abstractNumId w:val="6"/>
  </w:num>
  <w:num w:numId="8">
    <w:abstractNumId w:val="0"/>
  </w:num>
  <w:num w:numId="9">
    <w:abstractNumId w:val="4"/>
  </w:num>
  <w:num w:numId="10">
    <w:abstractNumId w:val="14"/>
  </w:num>
  <w:num w:numId="11">
    <w:abstractNumId w:val="7"/>
  </w:num>
  <w:num w:numId="12">
    <w:abstractNumId w:val="13"/>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56"/>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172A27"/>
    <w:rsid w:val="000015CD"/>
    <w:rsid w:val="00001843"/>
    <w:rsid w:val="0000554D"/>
    <w:rsid w:val="000056FD"/>
    <w:rsid w:val="00012635"/>
    <w:rsid w:val="0001299A"/>
    <w:rsid w:val="0001349E"/>
    <w:rsid w:val="000157D8"/>
    <w:rsid w:val="00020B5C"/>
    <w:rsid w:val="0003005B"/>
    <w:rsid w:val="00033CA4"/>
    <w:rsid w:val="000406A1"/>
    <w:rsid w:val="000421B4"/>
    <w:rsid w:val="00042486"/>
    <w:rsid w:val="000446C9"/>
    <w:rsid w:val="00050EBA"/>
    <w:rsid w:val="00051EF7"/>
    <w:rsid w:val="00054214"/>
    <w:rsid w:val="00054EB9"/>
    <w:rsid w:val="000573AD"/>
    <w:rsid w:val="00060E4A"/>
    <w:rsid w:val="000664FD"/>
    <w:rsid w:val="0007318A"/>
    <w:rsid w:val="00074FEC"/>
    <w:rsid w:val="00076A96"/>
    <w:rsid w:val="0008729D"/>
    <w:rsid w:val="000905B4"/>
    <w:rsid w:val="00090D13"/>
    <w:rsid w:val="0009167D"/>
    <w:rsid w:val="00093218"/>
    <w:rsid w:val="000A21F3"/>
    <w:rsid w:val="000A40C1"/>
    <w:rsid w:val="000A4A17"/>
    <w:rsid w:val="000A7340"/>
    <w:rsid w:val="000B0564"/>
    <w:rsid w:val="000B293E"/>
    <w:rsid w:val="000B2D24"/>
    <w:rsid w:val="000B58FF"/>
    <w:rsid w:val="000B5CF7"/>
    <w:rsid w:val="000C0911"/>
    <w:rsid w:val="000C60A9"/>
    <w:rsid w:val="000D5B6F"/>
    <w:rsid w:val="000E1DF2"/>
    <w:rsid w:val="000F59BE"/>
    <w:rsid w:val="000F5D1C"/>
    <w:rsid w:val="00103281"/>
    <w:rsid w:val="001047FC"/>
    <w:rsid w:val="00105436"/>
    <w:rsid w:val="00106F05"/>
    <w:rsid w:val="00115E54"/>
    <w:rsid w:val="0011603D"/>
    <w:rsid w:val="001163E0"/>
    <w:rsid w:val="00117F9D"/>
    <w:rsid w:val="00132F86"/>
    <w:rsid w:val="00133F05"/>
    <w:rsid w:val="00136740"/>
    <w:rsid w:val="00137783"/>
    <w:rsid w:val="001378CD"/>
    <w:rsid w:val="00141410"/>
    <w:rsid w:val="0014699E"/>
    <w:rsid w:val="00150DA2"/>
    <w:rsid w:val="001550AC"/>
    <w:rsid w:val="001568AA"/>
    <w:rsid w:val="00164840"/>
    <w:rsid w:val="00171586"/>
    <w:rsid w:val="00172A27"/>
    <w:rsid w:val="00172F79"/>
    <w:rsid w:val="00174DAC"/>
    <w:rsid w:val="00175419"/>
    <w:rsid w:val="001769F1"/>
    <w:rsid w:val="0018073B"/>
    <w:rsid w:val="0018121F"/>
    <w:rsid w:val="00185082"/>
    <w:rsid w:val="0018636A"/>
    <w:rsid w:val="001871EE"/>
    <w:rsid w:val="0019281A"/>
    <w:rsid w:val="00195C07"/>
    <w:rsid w:val="00196409"/>
    <w:rsid w:val="001A0DB4"/>
    <w:rsid w:val="001A2D7C"/>
    <w:rsid w:val="001A5D6E"/>
    <w:rsid w:val="001A60AC"/>
    <w:rsid w:val="001B1EC5"/>
    <w:rsid w:val="001B222B"/>
    <w:rsid w:val="001B4A0F"/>
    <w:rsid w:val="001B7BAB"/>
    <w:rsid w:val="001C085C"/>
    <w:rsid w:val="001C19A8"/>
    <w:rsid w:val="001C28A8"/>
    <w:rsid w:val="001D046F"/>
    <w:rsid w:val="001D1BCA"/>
    <w:rsid w:val="001D6687"/>
    <w:rsid w:val="001E1C6F"/>
    <w:rsid w:val="001E5F09"/>
    <w:rsid w:val="001F496B"/>
    <w:rsid w:val="001F4F93"/>
    <w:rsid w:val="001F77D5"/>
    <w:rsid w:val="001F79FE"/>
    <w:rsid w:val="00201EA0"/>
    <w:rsid w:val="00203344"/>
    <w:rsid w:val="0020344C"/>
    <w:rsid w:val="00203CC1"/>
    <w:rsid w:val="00206018"/>
    <w:rsid w:val="0021387B"/>
    <w:rsid w:val="00216285"/>
    <w:rsid w:val="00216675"/>
    <w:rsid w:val="00217832"/>
    <w:rsid w:val="00220879"/>
    <w:rsid w:val="00223F91"/>
    <w:rsid w:val="002242E4"/>
    <w:rsid w:val="00224BE6"/>
    <w:rsid w:val="00227765"/>
    <w:rsid w:val="0023049C"/>
    <w:rsid w:val="002315A6"/>
    <w:rsid w:val="00232ADA"/>
    <w:rsid w:val="0023423A"/>
    <w:rsid w:val="0024055A"/>
    <w:rsid w:val="0024162D"/>
    <w:rsid w:val="0024745D"/>
    <w:rsid w:val="00251118"/>
    <w:rsid w:val="00252270"/>
    <w:rsid w:val="00253900"/>
    <w:rsid w:val="002575E4"/>
    <w:rsid w:val="00265271"/>
    <w:rsid w:val="002705C9"/>
    <w:rsid w:val="00271DF5"/>
    <w:rsid w:val="0027301B"/>
    <w:rsid w:val="002827AA"/>
    <w:rsid w:val="00282AF4"/>
    <w:rsid w:val="00285746"/>
    <w:rsid w:val="00286C5C"/>
    <w:rsid w:val="00291E71"/>
    <w:rsid w:val="00294116"/>
    <w:rsid w:val="002A501A"/>
    <w:rsid w:val="002C03FA"/>
    <w:rsid w:val="002C0535"/>
    <w:rsid w:val="002C1863"/>
    <w:rsid w:val="002C6473"/>
    <w:rsid w:val="002D4A8A"/>
    <w:rsid w:val="002D6ADF"/>
    <w:rsid w:val="002D6BA9"/>
    <w:rsid w:val="002E165C"/>
    <w:rsid w:val="002E3EFE"/>
    <w:rsid w:val="003006CF"/>
    <w:rsid w:val="00303365"/>
    <w:rsid w:val="003047AF"/>
    <w:rsid w:val="003076C6"/>
    <w:rsid w:val="003117CE"/>
    <w:rsid w:val="00312964"/>
    <w:rsid w:val="00314692"/>
    <w:rsid w:val="00314744"/>
    <w:rsid w:val="00324C73"/>
    <w:rsid w:val="00325526"/>
    <w:rsid w:val="00331311"/>
    <w:rsid w:val="00335604"/>
    <w:rsid w:val="0034124A"/>
    <w:rsid w:val="003452F5"/>
    <w:rsid w:val="00347BA4"/>
    <w:rsid w:val="003536ED"/>
    <w:rsid w:val="00353E54"/>
    <w:rsid w:val="0036195E"/>
    <w:rsid w:val="00370DC1"/>
    <w:rsid w:val="0037460E"/>
    <w:rsid w:val="00376231"/>
    <w:rsid w:val="00376BE9"/>
    <w:rsid w:val="0038181A"/>
    <w:rsid w:val="003866FE"/>
    <w:rsid w:val="00386782"/>
    <w:rsid w:val="00392178"/>
    <w:rsid w:val="00392C14"/>
    <w:rsid w:val="003932A6"/>
    <w:rsid w:val="00396A20"/>
    <w:rsid w:val="0039792F"/>
    <w:rsid w:val="003A0266"/>
    <w:rsid w:val="003A2ACC"/>
    <w:rsid w:val="003A76B9"/>
    <w:rsid w:val="003B16B8"/>
    <w:rsid w:val="003B2098"/>
    <w:rsid w:val="003B30FC"/>
    <w:rsid w:val="003B5B91"/>
    <w:rsid w:val="003C1EA4"/>
    <w:rsid w:val="003C5039"/>
    <w:rsid w:val="003C6A99"/>
    <w:rsid w:val="003D1FFA"/>
    <w:rsid w:val="003D41ED"/>
    <w:rsid w:val="003D615E"/>
    <w:rsid w:val="003D6A32"/>
    <w:rsid w:val="003E09E1"/>
    <w:rsid w:val="003E1796"/>
    <w:rsid w:val="003E29E8"/>
    <w:rsid w:val="003E5A06"/>
    <w:rsid w:val="003F11B9"/>
    <w:rsid w:val="003F5323"/>
    <w:rsid w:val="003F5F74"/>
    <w:rsid w:val="003F7B3B"/>
    <w:rsid w:val="004026A9"/>
    <w:rsid w:val="00402BB2"/>
    <w:rsid w:val="00403444"/>
    <w:rsid w:val="00404FD1"/>
    <w:rsid w:val="004064D9"/>
    <w:rsid w:val="004110F8"/>
    <w:rsid w:val="00414852"/>
    <w:rsid w:val="00422B4A"/>
    <w:rsid w:val="00430AB8"/>
    <w:rsid w:val="00435E8B"/>
    <w:rsid w:val="00440CC2"/>
    <w:rsid w:val="00442B8E"/>
    <w:rsid w:val="0044310F"/>
    <w:rsid w:val="004518B8"/>
    <w:rsid w:val="00451B9C"/>
    <w:rsid w:val="004529F8"/>
    <w:rsid w:val="00455075"/>
    <w:rsid w:val="004614B7"/>
    <w:rsid w:val="00463E6A"/>
    <w:rsid w:val="00472BA8"/>
    <w:rsid w:val="0047740E"/>
    <w:rsid w:val="0048082C"/>
    <w:rsid w:val="00481833"/>
    <w:rsid w:val="00482547"/>
    <w:rsid w:val="00483774"/>
    <w:rsid w:val="00485288"/>
    <w:rsid w:val="00485676"/>
    <w:rsid w:val="00491172"/>
    <w:rsid w:val="00491A9E"/>
    <w:rsid w:val="00494DD1"/>
    <w:rsid w:val="00494F05"/>
    <w:rsid w:val="00496CE5"/>
    <w:rsid w:val="004A0509"/>
    <w:rsid w:val="004A05E6"/>
    <w:rsid w:val="004A0C1B"/>
    <w:rsid w:val="004A3234"/>
    <w:rsid w:val="004A38B1"/>
    <w:rsid w:val="004A56EE"/>
    <w:rsid w:val="004A7444"/>
    <w:rsid w:val="004B0760"/>
    <w:rsid w:val="004B07FE"/>
    <w:rsid w:val="004B1408"/>
    <w:rsid w:val="004B39FB"/>
    <w:rsid w:val="004B5853"/>
    <w:rsid w:val="004B6C30"/>
    <w:rsid w:val="004B7F9B"/>
    <w:rsid w:val="004C05F7"/>
    <w:rsid w:val="004C0987"/>
    <w:rsid w:val="004C3AF2"/>
    <w:rsid w:val="004C42AB"/>
    <w:rsid w:val="004C72CC"/>
    <w:rsid w:val="004C7D6C"/>
    <w:rsid w:val="004D05E8"/>
    <w:rsid w:val="004D0CAA"/>
    <w:rsid w:val="004D4092"/>
    <w:rsid w:val="004E1E63"/>
    <w:rsid w:val="004E63DC"/>
    <w:rsid w:val="004E6A4C"/>
    <w:rsid w:val="004E6F51"/>
    <w:rsid w:val="004E742A"/>
    <w:rsid w:val="004F0C59"/>
    <w:rsid w:val="004F0DA6"/>
    <w:rsid w:val="004F39B9"/>
    <w:rsid w:val="004F3CF8"/>
    <w:rsid w:val="00500ED9"/>
    <w:rsid w:val="00503B3C"/>
    <w:rsid w:val="00506D43"/>
    <w:rsid w:val="00507A3F"/>
    <w:rsid w:val="005141AD"/>
    <w:rsid w:val="00515BAC"/>
    <w:rsid w:val="0052010D"/>
    <w:rsid w:val="00523EAD"/>
    <w:rsid w:val="00524C00"/>
    <w:rsid w:val="0053054B"/>
    <w:rsid w:val="00530997"/>
    <w:rsid w:val="00534409"/>
    <w:rsid w:val="00535CF5"/>
    <w:rsid w:val="00536626"/>
    <w:rsid w:val="0053759D"/>
    <w:rsid w:val="00540BD8"/>
    <w:rsid w:val="005410C0"/>
    <w:rsid w:val="005432E5"/>
    <w:rsid w:val="00551F31"/>
    <w:rsid w:val="00567766"/>
    <w:rsid w:val="005700A8"/>
    <w:rsid w:val="00573D44"/>
    <w:rsid w:val="00574B84"/>
    <w:rsid w:val="0057570C"/>
    <w:rsid w:val="00575C76"/>
    <w:rsid w:val="0057713A"/>
    <w:rsid w:val="00580A15"/>
    <w:rsid w:val="00581791"/>
    <w:rsid w:val="005819E3"/>
    <w:rsid w:val="00581E32"/>
    <w:rsid w:val="00583A85"/>
    <w:rsid w:val="00590A7A"/>
    <w:rsid w:val="00590EFD"/>
    <w:rsid w:val="00596363"/>
    <w:rsid w:val="00597D22"/>
    <w:rsid w:val="005A2516"/>
    <w:rsid w:val="005A5B47"/>
    <w:rsid w:val="005B0ADF"/>
    <w:rsid w:val="005B1387"/>
    <w:rsid w:val="005B254E"/>
    <w:rsid w:val="005B521A"/>
    <w:rsid w:val="005B59B1"/>
    <w:rsid w:val="005B6BFD"/>
    <w:rsid w:val="005B6CF3"/>
    <w:rsid w:val="005C0017"/>
    <w:rsid w:val="005C3AB3"/>
    <w:rsid w:val="005C5D77"/>
    <w:rsid w:val="005D0854"/>
    <w:rsid w:val="005D0FAC"/>
    <w:rsid w:val="005D5DC1"/>
    <w:rsid w:val="005D6522"/>
    <w:rsid w:val="005D7E22"/>
    <w:rsid w:val="005E1294"/>
    <w:rsid w:val="005F6BB5"/>
    <w:rsid w:val="0060014E"/>
    <w:rsid w:val="0060153A"/>
    <w:rsid w:val="00603B88"/>
    <w:rsid w:val="006066C6"/>
    <w:rsid w:val="00607DA8"/>
    <w:rsid w:val="00610EA9"/>
    <w:rsid w:val="00612DBA"/>
    <w:rsid w:val="0061628B"/>
    <w:rsid w:val="006230ED"/>
    <w:rsid w:val="006234E3"/>
    <w:rsid w:val="00625997"/>
    <w:rsid w:val="00625BCB"/>
    <w:rsid w:val="0063051D"/>
    <w:rsid w:val="00631DFC"/>
    <w:rsid w:val="00634300"/>
    <w:rsid w:val="00644250"/>
    <w:rsid w:val="00644AD6"/>
    <w:rsid w:val="00645243"/>
    <w:rsid w:val="00654E68"/>
    <w:rsid w:val="0065516B"/>
    <w:rsid w:val="00656701"/>
    <w:rsid w:val="006573A4"/>
    <w:rsid w:val="00657844"/>
    <w:rsid w:val="0066006C"/>
    <w:rsid w:val="006619AF"/>
    <w:rsid w:val="0066560B"/>
    <w:rsid w:val="006668E6"/>
    <w:rsid w:val="0067542A"/>
    <w:rsid w:val="00684B95"/>
    <w:rsid w:val="00687BB2"/>
    <w:rsid w:val="006931BA"/>
    <w:rsid w:val="00693748"/>
    <w:rsid w:val="006938F2"/>
    <w:rsid w:val="006943D3"/>
    <w:rsid w:val="00696DB8"/>
    <w:rsid w:val="00697432"/>
    <w:rsid w:val="006A2BA4"/>
    <w:rsid w:val="006A2E29"/>
    <w:rsid w:val="006A6F4A"/>
    <w:rsid w:val="006B2D41"/>
    <w:rsid w:val="006B36DE"/>
    <w:rsid w:val="006B538D"/>
    <w:rsid w:val="006B79B8"/>
    <w:rsid w:val="006B7B95"/>
    <w:rsid w:val="006C22DA"/>
    <w:rsid w:val="006C2FB1"/>
    <w:rsid w:val="006C7936"/>
    <w:rsid w:val="006F01DA"/>
    <w:rsid w:val="006F37B8"/>
    <w:rsid w:val="00702BB4"/>
    <w:rsid w:val="00703198"/>
    <w:rsid w:val="0070583B"/>
    <w:rsid w:val="007066CB"/>
    <w:rsid w:val="00711FC3"/>
    <w:rsid w:val="00715A9F"/>
    <w:rsid w:val="00715E65"/>
    <w:rsid w:val="00716526"/>
    <w:rsid w:val="00717E67"/>
    <w:rsid w:val="0072202D"/>
    <w:rsid w:val="00722039"/>
    <w:rsid w:val="00722D60"/>
    <w:rsid w:val="007336DB"/>
    <w:rsid w:val="0073463B"/>
    <w:rsid w:val="00736850"/>
    <w:rsid w:val="007370F1"/>
    <w:rsid w:val="00740CB5"/>
    <w:rsid w:val="0074113F"/>
    <w:rsid w:val="00754CAF"/>
    <w:rsid w:val="007552A9"/>
    <w:rsid w:val="00770281"/>
    <w:rsid w:val="00771209"/>
    <w:rsid w:val="00774669"/>
    <w:rsid w:val="00774E22"/>
    <w:rsid w:val="00774F52"/>
    <w:rsid w:val="00776676"/>
    <w:rsid w:val="007831AB"/>
    <w:rsid w:val="00790304"/>
    <w:rsid w:val="00790B22"/>
    <w:rsid w:val="0079356B"/>
    <w:rsid w:val="007B2D07"/>
    <w:rsid w:val="007B34F3"/>
    <w:rsid w:val="007B4DA7"/>
    <w:rsid w:val="007B59F2"/>
    <w:rsid w:val="007C01CE"/>
    <w:rsid w:val="007C1025"/>
    <w:rsid w:val="007C4FE3"/>
    <w:rsid w:val="007C5A47"/>
    <w:rsid w:val="007C6926"/>
    <w:rsid w:val="007D4878"/>
    <w:rsid w:val="007D4E73"/>
    <w:rsid w:val="007D7634"/>
    <w:rsid w:val="007E0917"/>
    <w:rsid w:val="007E6C23"/>
    <w:rsid w:val="007F1699"/>
    <w:rsid w:val="007F2FC4"/>
    <w:rsid w:val="007F3793"/>
    <w:rsid w:val="007F4625"/>
    <w:rsid w:val="008003D5"/>
    <w:rsid w:val="008008CA"/>
    <w:rsid w:val="00801514"/>
    <w:rsid w:val="00801E09"/>
    <w:rsid w:val="008025ED"/>
    <w:rsid w:val="00803110"/>
    <w:rsid w:val="00804D3F"/>
    <w:rsid w:val="00806A3E"/>
    <w:rsid w:val="00807135"/>
    <w:rsid w:val="00814BCE"/>
    <w:rsid w:val="0081712A"/>
    <w:rsid w:val="00820D99"/>
    <w:rsid w:val="00835902"/>
    <w:rsid w:val="00836165"/>
    <w:rsid w:val="008362C0"/>
    <w:rsid w:val="00836F28"/>
    <w:rsid w:val="0085112B"/>
    <w:rsid w:val="00851CD1"/>
    <w:rsid w:val="008522D3"/>
    <w:rsid w:val="00852943"/>
    <w:rsid w:val="008530F5"/>
    <w:rsid w:val="00853711"/>
    <w:rsid w:val="00854656"/>
    <w:rsid w:val="00855F29"/>
    <w:rsid w:val="008566E2"/>
    <w:rsid w:val="0085686E"/>
    <w:rsid w:val="008570F2"/>
    <w:rsid w:val="0087086A"/>
    <w:rsid w:val="00876436"/>
    <w:rsid w:val="008772A2"/>
    <w:rsid w:val="00877572"/>
    <w:rsid w:val="00881A40"/>
    <w:rsid w:val="00882C63"/>
    <w:rsid w:val="00886718"/>
    <w:rsid w:val="008867DB"/>
    <w:rsid w:val="00887552"/>
    <w:rsid w:val="00893813"/>
    <w:rsid w:val="008946A5"/>
    <w:rsid w:val="00897FD8"/>
    <w:rsid w:val="008A1EED"/>
    <w:rsid w:val="008A433D"/>
    <w:rsid w:val="008A59AB"/>
    <w:rsid w:val="008B0BB7"/>
    <w:rsid w:val="008B1FFE"/>
    <w:rsid w:val="008B222F"/>
    <w:rsid w:val="008B34AA"/>
    <w:rsid w:val="008C0CBD"/>
    <w:rsid w:val="008C1D33"/>
    <w:rsid w:val="008D0EA5"/>
    <w:rsid w:val="008D4305"/>
    <w:rsid w:val="008E6700"/>
    <w:rsid w:val="008E7C7D"/>
    <w:rsid w:val="008F0048"/>
    <w:rsid w:val="008F4595"/>
    <w:rsid w:val="008F5147"/>
    <w:rsid w:val="008F549C"/>
    <w:rsid w:val="008F5B07"/>
    <w:rsid w:val="008F7803"/>
    <w:rsid w:val="00903C11"/>
    <w:rsid w:val="009066AC"/>
    <w:rsid w:val="00910085"/>
    <w:rsid w:val="009138B8"/>
    <w:rsid w:val="0091427E"/>
    <w:rsid w:val="00915AC8"/>
    <w:rsid w:val="00920DAF"/>
    <w:rsid w:val="00921912"/>
    <w:rsid w:val="009322EF"/>
    <w:rsid w:val="00932755"/>
    <w:rsid w:val="00933A6B"/>
    <w:rsid w:val="0093693A"/>
    <w:rsid w:val="00936F0E"/>
    <w:rsid w:val="009429ED"/>
    <w:rsid w:val="00944A5D"/>
    <w:rsid w:val="0095194E"/>
    <w:rsid w:val="00952834"/>
    <w:rsid w:val="00955537"/>
    <w:rsid w:val="009721F0"/>
    <w:rsid w:val="00972AFC"/>
    <w:rsid w:val="00974C80"/>
    <w:rsid w:val="009756F6"/>
    <w:rsid w:val="009764DF"/>
    <w:rsid w:val="00981E61"/>
    <w:rsid w:val="00983478"/>
    <w:rsid w:val="00985238"/>
    <w:rsid w:val="009854E3"/>
    <w:rsid w:val="00992530"/>
    <w:rsid w:val="0099381D"/>
    <w:rsid w:val="009A035C"/>
    <w:rsid w:val="009A35C7"/>
    <w:rsid w:val="009A3854"/>
    <w:rsid w:val="009A7B6E"/>
    <w:rsid w:val="009C77D0"/>
    <w:rsid w:val="009D26C6"/>
    <w:rsid w:val="009D5A9C"/>
    <w:rsid w:val="009E525F"/>
    <w:rsid w:val="009F4ED7"/>
    <w:rsid w:val="00A01260"/>
    <w:rsid w:val="00A0200B"/>
    <w:rsid w:val="00A0576E"/>
    <w:rsid w:val="00A14C2C"/>
    <w:rsid w:val="00A14EA4"/>
    <w:rsid w:val="00A14F4F"/>
    <w:rsid w:val="00A15030"/>
    <w:rsid w:val="00A1630F"/>
    <w:rsid w:val="00A16929"/>
    <w:rsid w:val="00A17AA2"/>
    <w:rsid w:val="00A2320E"/>
    <w:rsid w:val="00A25121"/>
    <w:rsid w:val="00A31545"/>
    <w:rsid w:val="00A3683C"/>
    <w:rsid w:val="00A42A2F"/>
    <w:rsid w:val="00A4566D"/>
    <w:rsid w:val="00A46040"/>
    <w:rsid w:val="00A535C8"/>
    <w:rsid w:val="00A603DE"/>
    <w:rsid w:val="00A60A49"/>
    <w:rsid w:val="00A62AAF"/>
    <w:rsid w:val="00A634EA"/>
    <w:rsid w:val="00A63F3B"/>
    <w:rsid w:val="00A7177C"/>
    <w:rsid w:val="00A72F21"/>
    <w:rsid w:val="00A736AC"/>
    <w:rsid w:val="00A7506F"/>
    <w:rsid w:val="00AA4CD1"/>
    <w:rsid w:val="00AB305D"/>
    <w:rsid w:val="00AB6619"/>
    <w:rsid w:val="00AD7DF7"/>
    <w:rsid w:val="00AE2215"/>
    <w:rsid w:val="00AE3031"/>
    <w:rsid w:val="00AF2BDF"/>
    <w:rsid w:val="00B00374"/>
    <w:rsid w:val="00B03DDE"/>
    <w:rsid w:val="00B044A8"/>
    <w:rsid w:val="00B06172"/>
    <w:rsid w:val="00B11A71"/>
    <w:rsid w:val="00B12736"/>
    <w:rsid w:val="00B1287F"/>
    <w:rsid w:val="00B12F91"/>
    <w:rsid w:val="00B13FE7"/>
    <w:rsid w:val="00B21E69"/>
    <w:rsid w:val="00B226FB"/>
    <w:rsid w:val="00B22822"/>
    <w:rsid w:val="00B45EAB"/>
    <w:rsid w:val="00B468B4"/>
    <w:rsid w:val="00B520CF"/>
    <w:rsid w:val="00B528B4"/>
    <w:rsid w:val="00B53352"/>
    <w:rsid w:val="00B555C1"/>
    <w:rsid w:val="00B55953"/>
    <w:rsid w:val="00B60EAF"/>
    <w:rsid w:val="00B62124"/>
    <w:rsid w:val="00B63DC3"/>
    <w:rsid w:val="00B667D5"/>
    <w:rsid w:val="00B66D87"/>
    <w:rsid w:val="00B70855"/>
    <w:rsid w:val="00B710C1"/>
    <w:rsid w:val="00B75F95"/>
    <w:rsid w:val="00B76087"/>
    <w:rsid w:val="00B804B5"/>
    <w:rsid w:val="00B83675"/>
    <w:rsid w:val="00B83DE1"/>
    <w:rsid w:val="00B85334"/>
    <w:rsid w:val="00B9146C"/>
    <w:rsid w:val="00B96581"/>
    <w:rsid w:val="00BA6935"/>
    <w:rsid w:val="00BA6C4B"/>
    <w:rsid w:val="00BA7E21"/>
    <w:rsid w:val="00BC008C"/>
    <w:rsid w:val="00BC1E0D"/>
    <w:rsid w:val="00BC2485"/>
    <w:rsid w:val="00BC58CB"/>
    <w:rsid w:val="00BC639B"/>
    <w:rsid w:val="00BD6448"/>
    <w:rsid w:val="00BD6609"/>
    <w:rsid w:val="00BD6B6F"/>
    <w:rsid w:val="00BD7A30"/>
    <w:rsid w:val="00BE1C6A"/>
    <w:rsid w:val="00BE4749"/>
    <w:rsid w:val="00BF091C"/>
    <w:rsid w:val="00BF25E7"/>
    <w:rsid w:val="00BF392D"/>
    <w:rsid w:val="00BF498A"/>
    <w:rsid w:val="00C02115"/>
    <w:rsid w:val="00C04D31"/>
    <w:rsid w:val="00C054AC"/>
    <w:rsid w:val="00C07961"/>
    <w:rsid w:val="00C07B57"/>
    <w:rsid w:val="00C111FF"/>
    <w:rsid w:val="00C11AED"/>
    <w:rsid w:val="00C12A0C"/>
    <w:rsid w:val="00C13E3E"/>
    <w:rsid w:val="00C15CE6"/>
    <w:rsid w:val="00C23FEF"/>
    <w:rsid w:val="00C26E0C"/>
    <w:rsid w:val="00C27456"/>
    <w:rsid w:val="00C277C9"/>
    <w:rsid w:val="00C3309F"/>
    <w:rsid w:val="00C33C09"/>
    <w:rsid w:val="00C34B14"/>
    <w:rsid w:val="00C445B2"/>
    <w:rsid w:val="00C51A56"/>
    <w:rsid w:val="00C5244B"/>
    <w:rsid w:val="00C56520"/>
    <w:rsid w:val="00C5732E"/>
    <w:rsid w:val="00C576A8"/>
    <w:rsid w:val="00C60664"/>
    <w:rsid w:val="00C60FA8"/>
    <w:rsid w:val="00C646E4"/>
    <w:rsid w:val="00C705D9"/>
    <w:rsid w:val="00C72FBD"/>
    <w:rsid w:val="00C84F30"/>
    <w:rsid w:val="00C90837"/>
    <w:rsid w:val="00C94342"/>
    <w:rsid w:val="00C949B6"/>
    <w:rsid w:val="00C96612"/>
    <w:rsid w:val="00C968DC"/>
    <w:rsid w:val="00C97827"/>
    <w:rsid w:val="00CA1539"/>
    <w:rsid w:val="00CA3443"/>
    <w:rsid w:val="00CA4986"/>
    <w:rsid w:val="00CA5EC8"/>
    <w:rsid w:val="00CA62B4"/>
    <w:rsid w:val="00CA6451"/>
    <w:rsid w:val="00CD14CA"/>
    <w:rsid w:val="00CD3939"/>
    <w:rsid w:val="00CD3A4C"/>
    <w:rsid w:val="00CD52E5"/>
    <w:rsid w:val="00CD6B7D"/>
    <w:rsid w:val="00CE16C9"/>
    <w:rsid w:val="00CF49B3"/>
    <w:rsid w:val="00D0009E"/>
    <w:rsid w:val="00D03026"/>
    <w:rsid w:val="00D044A0"/>
    <w:rsid w:val="00D05E32"/>
    <w:rsid w:val="00D05E94"/>
    <w:rsid w:val="00D060BB"/>
    <w:rsid w:val="00D06B1C"/>
    <w:rsid w:val="00D06FA8"/>
    <w:rsid w:val="00D171E5"/>
    <w:rsid w:val="00D20EF5"/>
    <w:rsid w:val="00D21A18"/>
    <w:rsid w:val="00D22648"/>
    <w:rsid w:val="00D255CC"/>
    <w:rsid w:val="00D25B3E"/>
    <w:rsid w:val="00D260D7"/>
    <w:rsid w:val="00D34225"/>
    <w:rsid w:val="00D35038"/>
    <w:rsid w:val="00D35CA6"/>
    <w:rsid w:val="00D40A54"/>
    <w:rsid w:val="00D41521"/>
    <w:rsid w:val="00D45302"/>
    <w:rsid w:val="00D473ED"/>
    <w:rsid w:val="00D54E2D"/>
    <w:rsid w:val="00D57957"/>
    <w:rsid w:val="00D63D26"/>
    <w:rsid w:val="00D75F44"/>
    <w:rsid w:val="00D76953"/>
    <w:rsid w:val="00D81328"/>
    <w:rsid w:val="00D86A64"/>
    <w:rsid w:val="00D9716A"/>
    <w:rsid w:val="00D97D9D"/>
    <w:rsid w:val="00DA1E94"/>
    <w:rsid w:val="00DA548E"/>
    <w:rsid w:val="00DA56E7"/>
    <w:rsid w:val="00DB0D24"/>
    <w:rsid w:val="00DB1977"/>
    <w:rsid w:val="00DC109F"/>
    <w:rsid w:val="00DC6719"/>
    <w:rsid w:val="00DD1CCA"/>
    <w:rsid w:val="00DD1DB9"/>
    <w:rsid w:val="00DD254C"/>
    <w:rsid w:val="00DD2978"/>
    <w:rsid w:val="00DE43E9"/>
    <w:rsid w:val="00DE773A"/>
    <w:rsid w:val="00DF2510"/>
    <w:rsid w:val="00DF5AC2"/>
    <w:rsid w:val="00DF66BA"/>
    <w:rsid w:val="00E01F5E"/>
    <w:rsid w:val="00E020AA"/>
    <w:rsid w:val="00E0545E"/>
    <w:rsid w:val="00E16B76"/>
    <w:rsid w:val="00E16F51"/>
    <w:rsid w:val="00E201F1"/>
    <w:rsid w:val="00E22E68"/>
    <w:rsid w:val="00E23DA3"/>
    <w:rsid w:val="00E304BF"/>
    <w:rsid w:val="00E30B27"/>
    <w:rsid w:val="00E334D1"/>
    <w:rsid w:val="00E3636D"/>
    <w:rsid w:val="00E412BF"/>
    <w:rsid w:val="00E52EE3"/>
    <w:rsid w:val="00E5557C"/>
    <w:rsid w:val="00E747AE"/>
    <w:rsid w:val="00E8006A"/>
    <w:rsid w:val="00E80540"/>
    <w:rsid w:val="00E8169C"/>
    <w:rsid w:val="00E823A9"/>
    <w:rsid w:val="00E824A0"/>
    <w:rsid w:val="00E95A5F"/>
    <w:rsid w:val="00E970A5"/>
    <w:rsid w:val="00EA1913"/>
    <w:rsid w:val="00EA6DB6"/>
    <w:rsid w:val="00EA7A52"/>
    <w:rsid w:val="00EB729A"/>
    <w:rsid w:val="00EC1523"/>
    <w:rsid w:val="00EC1651"/>
    <w:rsid w:val="00EC7B58"/>
    <w:rsid w:val="00ED284A"/>
    <w:rsid w:val="00ED28C2"/>
    <w:rsid w:val="00ED541F"/>
    <w:rsid w:val="00ED6A71"/>
    <w:rsid w:val="00EE0392"/>
    <w:rsid w:val="00EE30AE"/>
    <w:rsid w:val="00EF1302"/>
    <w:rsid w:val="00EF441F"/>
    <w:rsid w:val="00F00176"/>
    <w:rsid w:val="00F03461"/>
    <w:rsid w:val="00F10052"/>
    <w:rsid w:val="00F10D5B"/>
    <w:rsid w:val="00F14183"/>
    <w:rsid w:val="00F238EC"/>
    <w:rsid w:val="00F251AC"/>
    <w:rsid w:val="00F25D2C"/>
    <w:rsid w:val="00F26648"/>
    <w:rsid w:val="00F26E53"/>
    <w:rsid w:val="00F2722C"/>
    <w:rsid w:val="00F27BC8"/>
    <w:rsid w:val="00F320AF"/>
    <w:rsid w:val="00F3240D"/>
    <w:rsid w:val="00F36E5A"/>
    <w:rsid w:val="00F41423"/>
    <w:rsid w:val="00F41A43"/>
    <w:rsid w:val="00F44C63"/>
    <w:rsid w:val="00F5564A"/>
    <w:rsid w:val="00F65F82"/>
    <w:rsid w:val="00F70411"/>
    <w:rsid w:val="00F738E6"/>
    <w:rsid w:val="00F73A41"/>
    <w:rsid w:val="00F80C49"/>
    <w:rsid w:val="00F83195"/>
    <w:rsid w:val="00F837B8"/>
    <w:rsid w:val="00F9596D"/>
    <w:rsid w:val="00F96641"/>
    <w:rsid w:val="00F972DC"/>
    <w:rsid w:val="00FA0325"/>
    <w:rsid w:val="00FA0E3C"/>
    <w:rsid w:val="00FA7E0E"/>
    <w:rsid w:val="00FB0611"/>
    <w:rsid w:val="00FC116C"/>
    <w:rsid w:val="00FC19B5"/>
    <w:rsid w:val="00FC62BA"/>
    <w:rsid w:val="00FC632A"/>
    <w:rsid w:val="00FD0D76"/>
    <w:rsid w:val="00FD423B"/>
    <w:rsid w:val="00FD4BA0"/>
    <w:rsid w:val="00FD69B7"/>
    <w:rsid w:val="00FE218E"/>
    <w:rsid w:val="00FE6811"/>
    <w:rsid w:val="00FF029A"/>
    <w:rsid w:val="00FF38E1"/>
    <w:rsid w:val="01E0373D"/>
    <w:rsid w:val="04D728EB"/>
    <w:rsid w:val="05FB0B46"/>
    <w:rsid w:val="08E329C6"/>
    <w:rsid w:val="08F218BC"/>
    <w:rsid w:val="0B72710B"/>
    <w:rsid w:val="0C1A2904"/>
    <w:rsid w:val="0C917F8A"/>
    <w:rsid w:val="0F105EEC"/>
    <w:rsid w:val="0FCE45E0"/>
    <w:rsid w:val="105826EB"/>
    <w:rsid w:val="11D763E1"/>
    <w:rsid w:val="12FE3A23"/>
    <w:rsid w:val="146B6088"/>
    <w:rsid w:val="173319EE"/>
    <w:rsid w:val="187F191F"/>
    <w:rsid w:val="192B12EA"/>
    <w:rsid w:val="1B534C19"/>
    <w:rsid w:val="1B544879"/>
    <w:rsid w:val="1B9F50FD"/>
    <w:rsid w:val="1BE842ED"/>
    <w:rsid w:val="1BF43C15"/>
    <w:rsid w:val="1E582DD1"/>
    <w:rsid w:val="1EC15939"/>
    <w:rsid w:val="1EE86F9B"/>
    <w:rsid w:val="20E241A9"/>
    <w:rsid w:val="21DB474F"/>
    <w:rsid w:val="23B964FC"/>
    <w:rsid w:val="240A175B"/>
    <w:rsid w:val="27FD600E"/>
    <w:rsid w:val="28777889"/>
    <w:rsid w:val="28887BBF"/>
    <w:rsid w:val="29B35110"/>
    <w:rsid w:val="2A28296F"/>
    <w:rsid w:val="2A5F0044"/>
    <w:rsid w:val="2C8336BA"/>
    <w:rsid w:val="2D1A2755"/>
    <w:rsid w:val="2E0D75F2"/>
    <w:rsid w:val="2E84444D"/>
    <w:rsid w:val="2EC2609B"/>
    <w:rsid w:val="2FDF0B4D"/>
    <w:rsid w:val="30056F28"/>
    <w:rsid w:val="309B1F52"/>
    <w:rsid w:val="30AC5EFE"/>
    <w:rsid w:val="3151458A"/>
    <w:rsid w:val="33276009"/>
    <w:rsid w:val="354C36FE"/>
    <w:rsid w:val="358856A2"/>
    <w:rsid w:val="35BA3D90"/>
    <w:rsid w:val="37126870"/>
    <w:rsid w:val="38241222"/>
    <w:rsid w:val="39732F5D"/>
    <w:rsid w:val="39B97AD2"/>
    <w:rsid w:val="3E6F439C"/>
    <w:rsid w:val="3EEFDC4C"/>
    <w:rsid w:val="4013025E"/>
    <w:rsid w:val="40BB2DD0"/>
    <w:rsid w:val="429F3742"/>
    <w:rsid w:val="44915BF6"/>
    <w:rsid w:val="46557D90"/>
    <w:rsid w:val="493D713F"/>
    <w:rsid w:val="4B6338E3"/>
    <w:rsid w:val="4BD01850"/>
    <w:rsid w:val="4E6734DF"/>
    <w:rsid w:val="4FCE0C79"/>
    <w:rsid w:val="50923421"/>
    <w:rsid w:val="51BE0799"/>
    <w:rsid w:val="52B92CEE"/>
    <w:rsid w:val="531E7B67"/>
    <w:rsid w:val="53F43969"/>
    <w:rsid w:val="55577BDE"/>
    <w:rsid w:val="56CE1A57"/>
    <w:rsid w:val="572820AE"/>
    <w:rsid w:val="57476D14"/>
    <w:rsid w:val="58550E70"/>
    <w:rsid w:val="588E789E"/>
    <w:rsid w:val="5A280648"/>
    <w:rsid w:val="5B4F6D91"/>
    <w:rsid w:val="5BD257B0"/>
    <w:rsid w:val="5BFD9D1A"/>
    <w:rsid w:val="5CA95D7B"/>
    <w:rsid w:val="5E532527"/>
    <w:rsid w:val="5F5F34CB"/>
    <w:rsid w:val="5FD01870"/>
    <w:rsid w:val="600C5101"/>
    <w:rsid w:val="64051AF6"/>
    <w:rsid w:val="64164712"/>
    <w:rsid w:val="64B92F7D"/>
    <w:rsid w:val="66434B4A"/>
    <w:rsid w:val="67FF8E43"/>
    <w:rsid w:val="692D700B"/>
    <w:rsid w:val="6B0266A0"/>
    <w:rsid w:val="6E3015B8"/>
    <w:rsid w:val="6E5F1D32"/>
    <w:rsid w:val="6EC30E18"/>
    <w:rsid w:val="6FB56BDB"/>
    <w:rsid w:val="709C38CB"/>
    <w:rsid w:val="731C64D3"/>
    <w:rsid w:val="77CD051F"/>
    <w:rsid w:val="7C24379D"/>
    <w:rsid w:val="7C821604"/>
    <w:rsid w:val="7DEFA3B3"/>
    <w:rsid w:val="7E3E411D"/>
    <w:rsid w:val="7F5615E4"/>
    <w:rsid w:val="BD974AFB"/>
    <w:rsid w:val="F5E6C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4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47"/>
    <w:qFormat/>
    <w:uiPriority w:val="0"/>
    <w:pPr>
      <w:spacing w:before="120" w:after="120" w:line="360" w:lineRule="auto"/>
      <w:outlineLvl w:val="3"/>
    </w:pPr>
    <w:rPr>
      <w:rFonts w:ascii="Arial" w:hAnsi="Arial" w:cs="Arial"/>
      <w:sz w:val="24"/>
      <w:szCs w:val="28"/>
    </w:rPr>
  </w:style>
  <w:style w:type="paragraph" w:styleId="8">
    <w:name w:val="heading 5"/>
    <w:basedOn w:val="1"/>
    <w:next w:val="1"/>
    <w:link w:val="63"/>
    <w:qFormat/>
    <w:uiPriority w:val="0"/>
    <w:pPr>
      <w:spacing w:before="60" w:after="60" w:line="360" w:lineRule="auto"/>
      <w:outlineLvl w:val="4"/>
    </w:pPr>
    <w:rPr>
      <w:sz w:val="24"/>
      <w:szCs w:val="28"/>
    </w:rPr>
  </w:style>
  <w:style w:type="paragraph" w:styleId="9">
    <w:name w:val="heading 6"/>
    <w:basedOn w:val="1"/>
    <w:next w:val="10"/>
    <w:link w:val="49"/>
    <w:qFormat/>
    <w:uiPriority w:val="0"/>
    <w:pPr>
      <w:spacing w:before="60" w:after="60" w:line="360" w:lineRule="auto"/>
      <w:outlineLvl w:val="5"/>
    </w:pPr>
    <w:rPr>
      <w:sz w:val="24"/>
    </w:rPr>
  </w:style>
  <w:style w:type="paragraph" w:styleId="11">
    <w:name w:val="heading 9"/>
    <w:basedOn w:val="1"/>
    <w:next w:val="1"/>
    <w:link w:val="51"/>
    <w:qFormat/>
    <w:uiPriority w:val="0"/>
    <w:pPr>
      <w:keepNext/>
      <w:keepLines/>
      <w:spacing w:before="240" w:after="64" w:line="320" w:lineRule="auto"/>
      <w:outlineLvl w:val="8"/>
    </w:pPr>
    <w:rPr>
      <w:rFonts w:ascii="Cambria" w:hAnsi="Cambria"/>
      <w:szCs w:val="21"/>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5580"/>
      </w:tabs>
      <w:spacing w:after="120" w:line="240" w:lineRule="auto"/>
      <w:ind w:left="420" w:leftChars="200" w:firstLine="420" w:firstLineChars="200"/>
    </w:pPr>
    <w:rPr>
      <w:sz w:val="21"/>
    </w:rPr>
  </w:style>
  <w:style w:type="paragraph" w:styleId="3">
    <w:name w:val="Body Text Indent"/>
    <w:basedOn w:val="1"/>
    <w:link w:val="43"/>
    <w:qFormat/>
    <w:uiPriority w:val="0"/>
    <w:pPr>
      <w:spacing w:line="360" w:lineRule="auto"/>
      <w:ind w:firstLine="570"/>
    </w:pPr>
    <w:rPr>
      <w:sz w:val="24"/>
    </w:rPr>
  </w:style>
  <w:style w:type="paragraph" w:styleId="10">
    <w:name w:val="Body Text"/>
    <w:basedOn w:val="1"/>
    <w:next w:val="1"/>
    <w:link w:val="50"/>
    <w:qFormat/>
    <w:uiPriority w:val="0"/>
    <w:pPr>
      <w:tabs>
        <w:tab w:val="left" w:pos="567"/>
      </w:tabs>
      <w:spacing w:before="120" w:line="22" w:lineRule="atLeast"/>
    </w:pPr>
    <w:rPr>
      <w:rFonts w:ascii="宋体" w:hAnsi="宋体"/>
      <w:sz w:val="24"/>
    </w:rPr>
  </w:style>
  <w:style w:type="paragraph" w:styleId="12">
    <w:name w:val="Normal Indent"/>
    <w:basedOn w:val="1"/>
    <w:link w:val="52"/>
    <w:qFormat/>
    <w:uiPriority w:val="0"/>
    <w:pPr>
      <w:autoSpaceDE w:val="0"/>
      <w:autoSpaceDN w:val="0"/>
      <w:adjustRightInd w:val="0"/>
      <w:ind w:firstLine="420"/>
      <w:jc w:val="left"/>
    </w:pPr>
    <w:rPr>
      <w:rFonts w:ascii="宋体"/>
      <w:kern w:val="0"/>
      <w:sz w:val="24"/>
      <w:szCs w:val="20"/>
    </w:rPr>
  </w:style>
  <w:style w:type="paragraph" w:styleId="13">
    <w:name w:val="Document Map"/>
    <w:basedOn w:val="1"/>
    <w:link w:val="53"/>
    <w:qFormat/>
    <w:uiPriority w:val="0"/>
    <w:pPr>
      <w:shd w:val="clear" w:color="auto" w:fill="000080"/>
    </w:pPr>
  </w:style>
  <w:style w:type="paragraph" w:styleId="14">
    <w:name w:val="annotation text"/>
    <w:basedOn w:val="1"/>
    <w:link w:val="54"/>
    <w:qFormat/>
    <w:uiPriority w:val="0"/>
    <w:pPr>
      <w:jc w:val="left"/>
    </w:pPr>
  </w:style>
  <w:style w:type="paragraph" w:styleId="15">
    <w:name w:val="Salutation"/>
    <w:basedOn w:val="1"/>
    <w:next w:val="1"/>
    <w:qFormat/>
    <w:uiPriority w:val="0"/>
    <w:rPr>
      <w:sz w:val="24"/>
      <w:szCs w:val="20"/>
    </w:rPr>
  </w:style>
  <w:style w:type="paragraph" w:styleId="16">
    <w:name w:val="toc 3"/>
    <w:basedOn w:val="1"/>
    <w:next w:val="1"/>
    <w:qFormat/>
    <w:uiPriority w:val="0"/>
    <w:pPr>
      <w:tabs>
        <w:tab w:val="left" w:pos="1440"/>
        <w:tab w:val="right" w:leader="dot" w:pos="8937"/>
      </w:tabs>
      <w:spacing w:line="360" w:lineRule="auto"/>
      <w:ind w:left="840" w:leftChars="400"/>
    </w:pPr>
  </w:style>
  <w:style w:type="paragraph" w:styleId="17">
    <w:name w:val="Plain Text"/>
    <w:basedOn w:val="1"/>
    <w:next w:val="1"/>
    <w:link w:val="55"/>
    <w:qFormat/>
    <w:uiPriority w:val="0"/>
    <w:rPr>
      <w:rFonts w:ascii="宋体" w:hAnsi="Courier New"/>
      <w:szCs w:val="20"/>
    </w:rPr>
  </w:style>
  <w:style w:type="paragraph" w:styleId="18">
    <w:name w:val="Date"/>
    <w:basedOn w:val="1"/>
    <w:next w:val="1"/>
    <w:qFormat/>
    <w:uiPriority w:val="0"/>
    <w:pPr>
      <w:ind w:left="100" w:leftChars="2500"/>
    </w:pPr>
    <w:rPr>
      <w:rFonts w:ascii="仿宋_GB2312" w:hAnsi="宋体" w:eastAsia="仿宋_GB2312"/>
      <w:color w:val="000000"/>
      <w:sz w:val="24"/>
    </w:rPr>
  </w:style>
  <w:style w:type="paragraph" w:styleId="19">
    <w:name w:val="Body Text Indent 2"/>
    <w:basedOn w:val="1"/>
    <w:link w:val="56"/>
    <w:qFormat/>
    <w:uiPriority w:val="99"/>
    <w:pPr>
      <w:ind w:firstLine="480" w:firstLineChars="200"/>
    </w:pPr>
    <w:rPr>
      <w:rFonts w:ascii="仿宋_GB2312" w:eastAsia="仿宋_GB2312"/>
      <w:sz w:val="24"/>
    </w:rPr>
  </w:style>
  <w:style w:type="paragraph" w:styleId="20">
    <w:name w:val="Balloon Text"/>
    <w:basedOn w:val="1"/>
    <w:link w:val="57"/>
    <w:qFormat/>
    <w:uiPriority w:val="99"/>
    <w:pPr>
      <w:spacing w:before="120" w:after="120" w:line="400" w:lineRule="exact"/>
    </w:pPr>
    <w:rPr>
      <w:rFonts w:ascii="楷体_GB2312" w:hAnsi="楷体_GB2312" w:eastAsia="楷体_GB2312"/>
      <w:sz w:val="18"/>
      <w:szCs w:val="18"/>
    </w:rPr>
  </w:style>
  <w:style w:type="paragraph" w:styleId="21">
    <w:name w:val="footer"/>
    <w:basedOn w:val="1"/>
    <w:link w:val="58"/>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8937"/>
      </w:tabs>
    </w:pPr>
    <w:rPr>
      <w:rFonts w:hAnsi="宋体"/>
      <w:b/>
    </w:rPr>
  </w:style>
  <w:style w:type="paragraph" w:styleId="24">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5">
    <w:name w:val="index 9"/>
    <w:basedOn w:val="1"/>
    <w:next w:val="1"/>
    <w:qFormat/>
    <w:uiPriority w:val="0"/>
    <w:pPr>
      <w:ind w:left="3360"/>
      <w:jc w:val="left"/>
    </w:pPr>
    <w:rPr>
      <w:szCs w:val="20"/>
    </w:rPr>
  </w:style>
  <w:style w:type="paragraph" w:styleId="26">
    <w:name w:val="toc 2"/>
    <w:basedOn w:val="1"/>
    <w:next w:val="1"/>
    <w:qFormat/>
    <w:uiPriority w:val="0"/>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qFormat/>
    <w:uiPriority w:val="0"/>
    <w:rPr>
      <w:szCs w:val="20"/>
    </w:rPr>
  </w:style>
  <w:style w:type="paragraph" w:styleId="30">
    <w:name w:val="Title"/>
    <w:basedOn w:val="1"/>
    <w:link w:val="60"/>
    <w:qFormat/>
    <w:uiPriority w:val="0"/>
    <w:pPr>
      <w:spacing w:before="400" w:after="200" w:line="360" w:lineRule="auto"/>
      <w:ind w:firstLine="200" w:firstLineChars="200"/>
      <w:jc w:val="center"/>
      <w:outlineLvl w:val="0"/>
    </w:pPr>
    <w:rPr>
      <w:rFonts w:ascii="Arial" w:hAnsi="Arial"/>
      <w:b/>
      <w:bCs/>
      <w:sz w:val="36"/>
      <w:szCs w:val="32"/>
    </w:rPr>
  </w:style>
  <w:style w:type="paragraph" w:styleId="31">
    <w:name w:val="annotation subject"/>
    <w:basedOn w:val="14"/>
    <w:next w:val="14"/>
    <w:link w:val="61"/>
    <w:qFormat/>
    <w:uiPriority w:val="99"/>
    <w:rPr>
      <w:b/>
      <w:bCs/>
    </w:rPr>
  </w:style>
  <w:style w:type="paragraph" w:styleId="32">
    <w:name w:val="Body Text First Indent"/>
    <w:basedOn w:val="10"/>
    <w:next w:val="1"/>
    <w:qFormat/>
    <w:uiPriority w:val="99"/>
    <w:pPr>
      <w:spacing w:before="0" w:after="120" w:line="240" w:lineRule="auto"/>
      <w:ind w:firstLine="420" w:firstLineChars="100"/>
    </w:pPr>
    <w:rPr>
      <w:sz w:val="21"/>
    </w:rPr>
  </w:style>
  <w:style w:type="table" w:styleId="34">
    <w:name w:val="Table Grid"/>
    <w:basedOn w:val="33"/>
    <w:qFormat/>
    <w:uiPriority w:val="39"/>
    <w:pPr>
      <w:ind w:right="23"/>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5">
    <w:name w:val="Table Theme"/>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line number"/>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customStyle="1" w:styleId="43">
    <w:name w:val="正文文本缩进 字符"/>
    <w:link w:val="3"/>
    <w:qFormat/>
    <w:uiPriority w:val="0"/>
    <w:rPr>
      <w:kern w:val="2"/>
      <w:sz w:val="24"/>
      <w:szCs w:val="24"/>
    </w:rPr>
  </w:style>
  <w:style w:type="character" w:customStyle="1" w:styleId="44">
    <w:name w:val="标题 1 字符"/>
    <w:link w:val="4"/>
    <w:qFormat/>
    <w:uiPriority w:val="0"/>
    <w:rPr>
      <w:rFonts w:ascii="宋体"/>
      <w:b/>
      <w:kern w:val="44"/>
      <w:sz w:val="32"/>
    </w:rPr>
  </w:style>
  <w:style w:type="character" w:customStyle="1" w:styleId="45">
    <w:name w:val="标题 2 字符"/>
    <w:qFormat/>
    <w:uiPriority w:val="0"/>
    <w:rPr>
      <w:rFonts w:ascii="Arial" w:hAnsi="Arial" w:eastAsia="黑体"/>
      <w:b/>
      <w:sz w:val="30"/>
    </w:rPr>
  </w:style>
  <w:style w:type="character" w:customStyle="1" w:styleId="46">
    <w:name w:val="标题 3 字符"/>
    <w:link w:val="6"/>
    <w:qFormat/>
    <w:uiPriority w:val="0"/>
    <w:rPr>
      <w:rFonts w:ascii="宋体"/>
      <w:b/>
      <w:sz w:val="24"/>
      <w:u w:val="single"/>
    </w:rPr>
  </w:style>
  <w:style w:type="character" w:customStyle="1" w:styleId="47">
    <w:name w:val="标题 4 字符"/>
    <w:link w:val="7"/>
    <w:semiHidden/>
    <w:qFormat/>
    <w:uiPriority w:val="0"/>
    <w:rPr>
      <w:rFonts w:ascii="Arial" w:hAnsi="Arial" w:cs="Arial"/>
      <w:kern w:val="2"/>
      <w:sz w:val="24"/>
      <w:szCs w:val="28"/>
    </w:rPr>
  </w:style>
  <w:style w:type="character" w:customStyle="1" w:styleId="48">
    <w:name w:val="标题 5 字符"/>
    <w:semiHidden/>
    <w:qFormat/>
    <w:uiPriority w:val="0"/>
    <w:rPr>
      <w:kern w:val="2"/>
      <w:sz w:val="24"/>
      <w:szCs w:val="28"/>
    </w:rPr>
  </w:style>
  <w:style w:type="character" w:customStyle="1" w:styleId="49">
    <w:name w:val="标题 6 字符"/>
    <w:link w:val="9"/>
    <w:semiHidden/>
    <w:qFormat/>
    <w:uiPriority w:val="0"/>
    <w:rPr>
      <w:kern w:val="2"/>
      <w:sz w:val="24"/>
      <w:szCs w:val="24"/>
    </w:rPr>
  </w:style>
  <w:style w:type="character" w:customStyle="1" w:styleId="50">
    <w:name w:val="正文文本 字符"/>
    <w:link w:val="10"/>
    <w:qFormat/>
    <w:uiPriority w:val="0"/>
    <w:rPr>
      <w:rFonts w:ascii="宋体" w:hAnsi="宋体"/>
      <w:kern w:val="2"/>
      <w:sz w:val="24"/>
      <w:szCs w:val="24"/>
    </w:rPr>
  </w:style>
  <w:style w:type="character" w:customStyle="1" w:styleId="51">
    <w:name w:val="标题 9 字符"/>
    <w:link w:val="11"/>
    <w:qFormat/>
    <w:uiPriority w:val="0"/>
    <w:rPr>
      <w:rFonts w:ascii="Cambria" w:hAnsi="Cambria" w:eastAsia="宋体" w:cs="Times New Roman"/>
      <w:kern w:val="2"/>
      <w:sz w:val="21"/>
      <w:szCs w:val="21"/>
    </w:rPr>
  </w:style>
  <w:style w:type="character" w:customStyle="1" w:styleId="52">
    <w:name w:val="正文缩进 字符"/>
    <w:link w:val="12"/>
    <w:qFormat/>
    <w:uiPriority w:val="0"/>
    <w:rPr>
      <w:rFonts w:ascii="宋体" w:eastAsia="宋体"/>
      <w:sz w:val="24"/>
      <w:lang w:val="en-US" w:eastAsia="zh-CN" w:bidi="ar-SA"/>
    </w:rPr>
  </w:style>
  <w:style w:type="character" w:customStyle="1" w:styleId="53">
    <w:name w:val="文档结构图 字符"/>
    <w:link w:val="13"/>
    <w:qFormat/>
    <w:uiPriority w:val="0"/>
    <w:rPr>
      <w:kern w:val="2"/>
      <w:sz w:val="21"/>
      <w:szCs w:val="24"/>
      <w:shd w:val="clear" w:color="auto" w:fill="000080"/>
    </w:rPr>
  </w:style>
  <w:style w:type="character" w:customStyle="1" w:styleId="54">
    <w:name w:val="批注文字 字符"/>
    <w:link w:val="14"/>
    <w:qFormat/>
    <w:uiPriority w:val="0"/>
    <w:rPr>
      <w:kern w:val="2"/>
      <w:sz w:val="21"/>
      <w:szCs w:val="24"/>
    </w:rPr>
  </w:style>
  <w:style w:type="character" w:customStyle="1" w:styleId="55">
    <w:name w:val="纯文本 字符"/>
    <w:link w:val="17"/>
    <w:qFormat/>
    <w:uiPriority w:val="0"/>
    <w:rPr>
      <w:rFonts w:ascii="宋体" w:hAnsi="Courier New"/>
      <w:kern w:val="2"/>
      <w:sz w:val="21"/>
    </w:rPr>
  </w:style>
  <w:style w:type="character" w:customStyle="1" w:styleId="56">
    <w:name w:val="正文文本缩进 2 字符"/>
    <w:link w:val="19"/>
    <w:qFormat/>
    <w:uiPriority w:val="99"/>
    <w:rPr>
      <w:rFonts w:ascii="仿宋_GB2312" w:eastAsia="仿宋_GB2312"/>
      <w:kern w:val="2"/>
      <w:sz w:val="24"/>
      <w:szCs w:val="24"/>
    </w:rPr>
  </w:style>
  <w:style w:type="character" w:customStyle="1" w:styleId="57">
    <w:name w:val="批注框文本 字符"/>
    <w:link w:val="20"/>
    <w:qFormat/>
    <w:uiPriority w:val="99"/>
    <w:rPr>
      <w:rFonts w:ascii="楷体_GB2312" w:hAnsi="楷体_GB2312" w:eastAsia="楷体_GB2312"/>
      <w:kern w:val="2"/>
      <w:sz w:val="18"/>
      <w:szCs w:val="18"/>
    </w:rPr>
  </w:style>
  <w:style w:type="character" w:customStyle="1" w:styleId="58">
    <w:name w:val="页脚 字符"/>
    <w:link w:val="21"/>
    <w:qFormat/>
    <w:uiPriority w:val="0"/>
    <w:rPr>
      <w:rFonts w:ascii="宋体"/>
      <w:sz w:val="18"/>
    </w:rPr>
  </w:style>
  <w:style w:type="character" w:customStyle="1" w:styleId="59">
    <w:name w:val="页眉 字符"/>
    <w:link w:val="22"/>
    <w:qFormat/>
    <w:uiPriority w:val="0"/>
    <w:rPr>
      <w:kern w:val="2"/>
      <w:sz w:val="18"/>
      <w:szCs w:val="18"/>
    </w:rPr>
  </w:style>
  <w:style w:type="character" w:customStyle="1" w:styleId="60">
    <w:name w:val="标题 字符"/>
    <w:link w:val="30"/>
    <w:qFormat/>
    <w:uiPriority w:val="0"/>
    <w:rPr>
      <w:rFonts w:ascii="Arial" w:hAnsi="Arial" w:cs="Arial"/>
      <w:b/>
      <w:bCs/>
      <w:kern w:val="2"/>
      <w:sz w:val="36"/>
      <w:szCs w:val="32"/>
    </w:rPr>
  </w:style>
  <w:style w:type="character" w:customStyle="1" w:styleId="61">
    <w:name w:val="批注主题 字符"/>
    <w:link w:val="31"/>
    <w:qFormat/>
    <w:uiPriority w:val="99"/>
    <w:rPr>
      <w:b/>
      <w:bCs/>
      <w:kern w:val="2"/>
      <w:sz w:val="21"/>
      <w:szCs w:val="24"/>
    </w:rPr>
  </w:style>
  <w:style w:type="character" w:customStyle="1" w:styleId="62">
    <w:name w:val="标题 2 字符1"/>
    <w:link w:val="5"/>
    <w:qFormat/>
    <w:uiPriority w:val="0"/>
    <w:rPr>
      <w:rFonts w:ascii="Arial" w:hAnsi="Arial" w:eastAsia="黑体"/>
      <w:b/>
      <w:sz w:val="30"/>
    </w:rPr>
  </w:style>
  <w:style w:type="character" w:customStyle="1" w:styleId="63">
    <w:name w:val="标题 5 字符1"/>
    <w:link w:val="8"/>
    <w:qFormat/>
    <w:locked/>
    <w:uiPriority w:val="99"/>
    <w:rPr>
      <w:b/>
      <w:bCs/>
      <w:sz w:val="28"/>
      <w:szCs w:val="28"/>
    </w:rPr>
  </w:style>
  <w:style w:type="paragraph" w:customStyle="1" w:styleId="64">
    <w:name w:val="列出段落1"/>
    <w:basedOn w:val="1"/>
    <w:link w:val="65"/>
    <w:qFormat/>
    <w:uiPriority w:val="34"/>
    <w:pPr>
      <w:widowControl/>
      <w:ind w:left="720"/>
      <w:jc w:val="left"/>
    </w:pPr>
    <w:rPr>
      <w:rFonts w:ascii="Cambria" w:hAnsi="Cambria"/>
      <w:kern w:val="0"/>
      <w:sz w:val="24"/>
    </w:rPr>
  </w:style>
  <w:style w:type="character" w:customStyle="1" w:styleId="65">
    <w:name w:val="列出段落字符"/>
    <w:link w:val="64"/>
    <w:qFormat/>
    <w:uiPriority w:val="0"/>
    <w:rPr>
      <w:rFonts w:ascii="Cambria" w:hAnsi="Cambria"/>
      <w:sz w:val="24"/>
      <w:szCs w:val="24"/>
    </w:rPr>
  </w:style>
  <w:style w:type="character" w:customStyle="1" w:styleId="66">
    <w:name w:val="tpc_content1"/>
    <w:qFormat/>
    <w:uiPriority w:val="0"/>
    <w:rPr>
      <w:sz w:val="15"/>
      <w:szCs w:val="15"/>
    </w:rPr>
  </w:style>
  <w:style w:type="character" w:customStyle="1" w:styleId="67">
    <w:name w:val="标题5 Char"/>
    <w:link w:val="68"/>
    <w:qFormat/>
    <w:locked/>
    <w:uiPriority w:val="0"/>
  </w:style>
  <w:style w:type="paragraph" w:customStyle="1" w:styleId="68">
    <w:name w:val="标题5"/>
    <w:basedOn w:val="69"/>
    <w:link w:val="67"/>
    <w:qFormat/>
    <w:uiPriority w:val="0"/>
    <w:rPr>
      <w:kern w:val="0"/>
      <w:sz w:val="20"/>
      <w:szCs w:val="20"/>
    </w:rPr>
  </w:style>
  <w:style w:type="paragraph" w:customStyle="1" w:styleId="69">
    <w:name w:val="样式2"/>
    <w:basedOn w:val="8"/>
    <w:link w:val="70"/>
    <w:qFormat/>
    <w:uiPriority w:val="0"/>
    <w:pPr>
      <w:jc w:val="left"/>
    </w:pPr>
  </w:style>
  <w:style w:type="character" w:customStyle="1" w:styleId="70">
    <w:name w:val="样式2 Char"/>
    <w:link w:val="69"/>
    <w:qFormat/>
    <w:locked/>
    <w:uiPriority w:val="0"/>
    <w:rPr>
      <w:kern w:val="2"/>
      <w:sz w:val="24"/>
      <w:szCs w:val="28"/>
    </w:rPr>
  </w:style>
  <w:style w:type="character" w:customStyle="1" w:styleId="71">
    <w:name w:val="正文缩进 Char1"/>
    <w:qFormat/>
    <w:uiPriority w:val="0"/>
    <w:rPr>
      <w:rFonts w:ascii="宋体"/>
      <w:sz w:val="24"/>
    </w:rPr>
  </w:style>
  <w:style w:type="character" w:customStyle="1" w:styleId="72">
    <w:name w:val="hei16b1"/>
    <w:qFormat/>
    <w:uiPriority w:val="0"/>
    <w:rPr>
      <w:rFonts w:hint="default" w:ascii="Arial" w:hAnsi="Arial" w:cs="Arial"/>
      <w:b/>
      <w:bCs/>
      <w:color w:val="000000"/>
      <w:sz w:val="24"/>
      <w:szCs w:val="24"/>
    </w:rPr>
  </w:style>
  <w:style w:type="character" w:customStyle="1" w:styleId="73">
    <w:name w:val="emailstyle17"/>
    <w:qFormat/>
    <w:uiPriority w:val="0"/>
    <w:rPr>
      <w:rFonts w:hint="default" w:ascii="Arial" w:hAnsi="Arial" w:cs="Arial"/>
      <w:color w:val="auto"/>
      <w:sz w:val="20"/>
      <w:szCs w:val="20"/>
    </w:rPr>
  </w:style>
  <w:style w:type="character" w:customStyle="1" w:styleId="74">
    <w:name w:val="h31"/>
    <w:qFormat/>
    <w:uiPriority w:val="0"/>
    <w:rPr>
      <w:sz w:val="21"/>
      <w:szCs w:val="21"/>
    </w:rPr>
  </w:style>
  <w:style w:type="character" w:customStyle="1" w:styleId="75">
    <w:name w:val="标题 6 Char1"/>
    <w:semiHidden/>
    <w:qFormat/>
    <w:uiPriority w:val="0"/>
    <w:rPr>
      <w:rFonts w:ascii="Cambria" w:hAnsi="Cambria" w:eastAsia="宋体" w:cs="Times New Roman"/>
      <w:b/>
      <w:bCs/>
      <w:kern w:val="2"/>
      <w:sz w:val="24"/>
      <w:szCs w:val="24"/>
    </w:rPr>
  </w:style>
  <w:style w:type="character" w:customStyle="1" w:styleId="76">
    <w:name w:val="+正文 Char3"/>
    <w:link w:val="77"/>
    <w:qFormat/>
    <w:uiPriority w:val="0"/>
    <w:rPr>
      <w:sz w:val="24"/>
    </w:rPr>
  </w:style>
  <w:style w:type="paragraph" w:customStyle="1" w:styleId="77">
    <w:name w:val="+正文"/>
    <w:basedOn w:val="1"/>
    <w:link w:val="76"/>
    <w:qFormat/>
    <w:uiPriority w:val="0"/>
    <w:pPr>
      <w:spacing w:line="360" w:lineRule="auto"/>
      <w:ind w:firstLine="200" w:firstLineChars="200"/>
    </w:pPr>
    <w:rPr>
      <w:kern w:val="0"/>
      <w:sz w:val="24"/>
      <w:szCs w:val="20"/>
    </w:rPr>
  </w:style>
  <w:style w:type="character" w:customStyle="1" w:styleId="78">
    <w:name w:val="标题 5 Char1"/>
    <w:semiHidden/>
    <w:qFormat/>
    <w:uiPriority w:val="0"/>
    <w:rPr>
      <w:b/>
      <w:bCs/>
      <w:kern w:val="2"/>
      <w:sz w:val="28"/>
      <w:szCs w:val="28"/>
    </w:rPr>
  </w:style>
  <w:style w:type="character" w:customStyle="1" w:styleId="79">
    <w:name w:val="标题 2 Char1"/>
    <w:semiHidden/>
    <w:qFormat/>
    <w:uiPriority w:val="0"/>
    <w:rPr>
      <w:rFonts w:ascii="Cambria" w:hAnsi="Cambria" w:eastAsia="宋体" w:cs="Times New Roman"/>
      <w:b/>
      <w:bCs/>
      <w:kern w:val="2"/>
      <w:sz w:val="32"/>
      <w:szCs w:val="32"/>
    </w:rPr>
  </w:style>
  <w:style w:type="character" w:customStyle="1" w:styleId="80">
    <w:name w:val="apple-converted-space"/>
    <w:qFormat/>
    <w:uiPriority w:val="0"/>
  </w:style>
  <w:style w:type="character" w:customStyle="1" w:styleId="81">
    <w:name w:val="标题 4 Char1"/>
    <w:semiHidden/>
    <w:qFormat/>
    <w:uiPriority w:val="0"/>
    <w:rPr>
      <w:rFonts w:ascii="Cambria" w:hAnsi="Cambria" w:eastAsia="宋体" w:cs="Times New Roman"/>
      <w:b/>
      <w:bCs/>
      <w:kern w:val="2"/>
      <w:sz w:val="28"/>
      <w:szCs w:val="28"/>
    </w:rPr>
  </w:style>
  <w:style w:type="character" w:customStyle="1" w:styleId="82">
    <w:name w:val="样式1 Char"/>
    <w:link w:val="83"/>
    <w:qFormat/>
    <w:locked/>
    <w:uiPriority w:val="0"/>
    <w:rPr>
      <w:kern w:val="2"/>
      <w:sz w:val="24"/>
    </w:rPr>
  </w:style>
  <w:style w:type="paragraph" w:customStyle="1" w:styleId="83">
    <w:name w:val="样式1"/>
    <w:basedOn w:val="1"/>
    <w:link w:val="82"/>
    <w:qFormat/>
    <w:uiPriority w:val="0"/>
    <w:rPr>
      <w:sz w:val="24"/>
      <w:szCs w:val="20"/>
    </w:rPr>
  </w:style>
  <w:style w:type="character" w:customStyle="1" w:styleId="84">
    <w:name w:val="标题 1 Char1"/>
    <w:qFormat/>
    <w:uiPriority w:val="0"/>
    <w:rPr>
      <w:b/>
      <w:bCs/>
      <w:kern w:val="44"/>
      <w:sz w:val="44"/>
      <w:szCs w:val="44"/>
    </w:rPr>
  </w:style>
  <w:style w:type="character" w:customStyle="1" w:styleId="85">
    <w:name w:val="标题 3 Char1"/>
    <w:semiHidden/>
    <w:qFormat/>
    <w:uiPriority w:val="0"/>
    <w:rPr>
      <w:b/>
      <w:bCs/>
      <w:kern w:val="2"/>
      <w:sz w:val="32"/>
      <w:szCs w:val="32"/>
    </w:rPr>
  </w:style>
  <w:style w:type="character" w:customStyle="1" w:styleId="86">
    <w:name w:val="blacksmm"/>
    <w:qFormat/>
    <w:uiPriority w:val="0"/>
  </w:style>
  <w:style w:type="character" w:customStyle="1" w:styleId="87">
    <w:name w:val="Item List Char Char"/>
    <w:link w:val="88"/>
    <w:qFormat/>
    <w:uiPriority w:val="0"/>
    <w:rPr>
      <w:rFonts w:ascii="Arial" w:hAnsi="Arial"/>
      <w:kern w:val="2"/>
      <w:sz w:val="21"/>
      <w:szCs w:val="21"/>
      <w:lang w:val="en-US" w:eastAsia="zh-CN" w:bidi="ar-SA"/>
    </w:rPr>
  </w:style>
  <w:style w:type="paragraph" w:customStyle="1" w:styleId="88">
    <w:name w:val="Item List"/>
    <w:link w:val="87"/>
    <w:qFormat/>
    <w:uiPriority w:val="0"/>
    <w:pPr>
      <w:tabs>
        <w:tab w:val="left" w:pos="2126"/>
      </w:tabs>
      <w:adjustRightInd w:val="0"/>
      <w:snapToGrid w:val="0"/>
      <w:spacing w:before="80" w:after="80" w:line="240" w:lineRule="atLeast"/>
      <w:ind w:left="2126" w:hanging="425"/>
    </w:pPr>
    <w:rPr>
      <w:rFonts w:ascii="Arial" w:hAnsi="Arial" w:eastAsia="宋体" w:cs="Times New Roman"/>
      <w:kern w:val="2"/>
      <w:sz w:val="21"/>
      <w:szCs w:val="21"/>
      <w:lang w:val="en-US" w:eastAsia="zh-CN" w:bidi="ar-SA"/>
    </w:rPr>
  </w:style>
  <w:style w:type="character" w:customStyle="1" w:styleId="89">
    <w:name w:val="blacksm"/>
    <w:qFormat/>
    <w:uiPriority w:val="0"/>
  </w:style>
  <w:style w:type="paragraph" w:customStyle="1" w:styleId="90">
    <w:name w:val="正文6"/>
    <w:basedOn w:val="1"/>
    <w:qFormat/>
    <w:uiPriority w:val="0"/>
    <w:pPr>
      <w:numPr>
        <w:ilvl w:val="0"/>
        <w:numId w:val="1"/>
      </w:numPr>
      <w:spacing w:before="60" w:after="60" w:line="360" w:lineRule="auto"/>
      <w:ind w:left="1020" w:leftChars="600"/>
    </w:pPr>
    <w:rPr>
      <w:sz w:val="24"/>
    </w:rPr>
  </w:style>
  <w:style w:type="paragraph" w:customStyle="1" w:styleId="91">
    <w:name w:val="浅色网格 - 强调文字颜色 31"/>
    <w:basedOn w:val="1"/>
    <w:qFormat/>
    <w:uiPriority w:val="34"/>
    <w:pPr>
      <w:spacing w:line="360" w:lineRule="auto"/>
      <w:ind w:firstLine="420" w:firstLineChars="200"/>
    </w:pPr>
    <w:rPr>
      <w:sz w:val="24"/>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正文2"/>
    <w:basedOn w:val="1"/>
    <w:qFormat/>
    <w:uiPriority w:val="0"/>
    <w:pPr>
      <w:spacing w:before="60" w:after="60" w:line="360" w:lineRule="auto"/>
      <w:ind w:left="200" w:leftChars="200"/>
      <w:outlineLvl w:val="7"/>
    </w:pPr>
    <w:rPr>
      <w:sz w:val="24"/>
    </w:rPr>
  </w:style>
  <w:style w:type="paragraph" w:customStyle="1" w:styleId="9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5">
    <w:name w:val="图标注"/>
    <w:qFormat/>
    <w:uiPriority w:val="0"/>
    <w:pPr>
      <w:numPr>
        <w:ilvl w:val="0"/>
        <w:numId w:val="2"/>
      </w:numPr>
      <w:spacing w:beforeLines="50" w:line="360" w:lineRule="auto"/>
      <w:ind w:left="340"/>
      <w:jc w:val="center"/>
    </w:pPr>
    <w:rPr>
      <w:rFonts w:ascii="楷体_GB2312" w:hAnsi="Times New Roman" w:eastAsia="宋体" w:cs="Times New Roman"/>
      <w:sz w:val="21"/>
      <w:lang w:val="en-US" w:eastAsia="zh-CN" w:bidi="ar-SA"/>
    </w:rPr>
  </w:style>
  <w:style w:type="paragraph" w:customStyle="1" w:styleId="96">
    <w:name w:val="xl3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i/>
      <w:iCs/>
      <w:kern w:val="0"/>
      <w:sz w:val="20"/>
      <w:szCs w:val="20"/>
    </w:rPr>
  </w:style>
  <w:style w:type="paragraph" w:customStyle="1" w:styleId="97">
    <w:name w:val="样式 宋体 五号 行距: 单倍行距"/>
    <w:basedOn w:val="1"/>
    <w:qFormat/>
    <w:uiPriority w:val="0"/>
    <w:pPr>
      <w:adjustRightInd w:val="0"/>
      <w:jc w:val="left"/>
      <w:textAlignment w:val="baseline"/>
    </w:pPr>
    <w:rPr>
      <w:rFonts w:ascii="宋体" w:hAnsi="宋体" w:cs="Century"/>
      <w:kern w:val="0"/>
      <w:szCs w:val="20"/>
    </w:rPr>
  </w:style>
  <w:style w:type="paragraph" w:customStyle="1" w:styleId="98">
    <w:name w:val="font9"/>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9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00">
    <w:name w:val="xl40"/>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1">
    <w:name w:val="Char Char Char"/>
    <w:basedOn w:val="1"/>
    <w:qFormat/>
    <w:uiPriority w:val="0"/>
    <w:pPr>
      <w:snapToGrid w:val="0"/>
      <w:spacing w:line="360" w:lineRule="auto"/>
      <w:ind w:firstLine="200" w:firstLineChars="200"/>
    </w:pPr>
    <w:rPr>
      <w:rFonts w:eastAsia="仿宋_GB2312"/>
      <w:sz w:val="24"/>
    </w:rPr>
  </w:style>
  <w:style w:type="paragraph" w:customStyle="1" w:styleId="102">
    <w:name w:val="Char"/>
    <w:basedOn w:val="1"/>
    <w:qFormat/>
    <w:uiPriority w:val="0"/>
    <w:pPr>
      <w:tabs>
        <w:tab w:val="left" w:pos="432"/>
      </w:tabs>
      <w:ind w:left="432" w:hanging="432"/>
    </w:pPr>
    <w:rPr>
      <w:sz w:val="24"/>
    </w:rPr>
  </w:style>
  <w:style w:type="paragraph" w:customStyle="1" w:styleId="103">
    <w:name w:val="xl4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5">
    <w:name w:val="正文字缩2字"/>
    <w:basedOn w:val="106"/>
    <w:qFormat/>
    <w:uiPriority w:val="0"/>
    <w:pPr>
      <w:ind w:left="200" w:leftChars="200"/>
    </w:pPr>
  </w:style>
  <w:style w:type="paragraph" w:customStyle="1" w:styleId="106">
    <w:name w:val="正文字缩1字"/>
    <w:basedOn w:val="1"/>
    <w:qFormat/>
    <w:uiPriority w:val="0"/>
    <w:pPr>
      <w:spacing w:before="60" w:after="60" w:line="360" w:lineRule="auto"/>
      <w:ind w:left="100" w:leftChars="100" w:firstLine="200" w:firstLineChars="200"/>
    </w:pPr>
    <w:rPr>
      <w:sz w:val="24"/>
    </w:rPr>
  </w:style>
  <w:style w:type="paragraph" w:customStyle="1" w:styleId="107">
    <w:name w:val="标题 + 仿宋_GB2312"/>
    <w:basedOn w:val="1"/>
    <w:qFormat/>
    <w:uiPriority w:val="0"/>
    <w:pPr>
      <w:tabs>
        <w:tab w:val="left" w:pos="4084"/>
      </w:tabs>
      <w:spacing w:before="120" w:line="360" w:lineRule="auto"/>
      <w:ind w:left="4084" w:hanging="1200"/>
    </w:pPr>
    <w:rPr>
      <w:rFonts w:ascii="仿宋_GB2312" w:hAnsi="宋体" w:eastAsia="仿宋_GB2312"/>
      <w:b/>
      <w:color w:val="000000"/>
      <w:sz w:val="24"/>
    </w:rPr>
  </w:style>
  <w:style w:type="paragraph" w:customStyle="1" w:styleId="108">
    <w:name w:val="样式5"/>
    <w:basedOn w:val="7"/>
    <w:qFormat/>
    <w:uiPriority w:val="0"/>
    <w:rPr>
      <w:rFonts w:ascii="宋体" w:hAnsi="宋体"/>
      <w:b/>
      <w:bCs/>
    </w:rPr>
  </w:style>
  <w:style w:type="paragraph" w:customStyle="1" w:styleId="109">
    <w:name w:val="样式4"/>
    <w:basedOn w:val="5"/>
    <w:qFormat/>
    <w:uiPriority w:val="0"/>
    <w:pPr>
      <w:keepNext w:val="0"/>
      <w:keepLines w:val="0"/>
      <w:autoSpaceDE/>
      <w:autoSpaceDN/>
      <w:adjustRightInd/>
      <w:spacing w:after="120" w:line="360" w:lineRule="auto"/>
      <w:jc w:val="both"/>
    </w:pPr>
    <w:rPr>
      <w:rFonts w:ascii="宋体" w:hAnsi="宋体" w:eastAsia="宋体" w:cs="Arial"/>
      <w:bCs/>
      <w:kern w:val="2"/>
      <w:sz w:val="32"/>
      <w:szCs w:val="32"/>
    </w:rPr>
  </w:style>
  <w:style w:type="paragraph" w:customStyle="1" w:styleId="110">
    <w:name w:val="图例"/>
    <w:basedOn w:val="1"/>
    <w:qFormat/>
    <w:uiPriority w:val="0"/>
    <w:pPr>
      <w:spacing w:before="120" w:after="120" w:line="360" w:lineRule="auto"/>
      <w:jc w:val="center"/>
    </w:pPr>
    <w:rPr>
      <w:rFonts w:eastAsia="仿宋_GB2312"/>
      <w:b/>
      <w:sz w:val="24"/>
      <w:szCs w:val="20"/>
    </w:rPr>
  </w:style>
  <w:style w:type="paragraph" w:customStyle="1" w:styleId="11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2">
    <w:name w:val="Char Char1 Char Char Char Char Char Char Char"/>
    <w:basedOn w:val="1"/>
    <w:qFormat/>
    <w:uiPriority w:val="0"/>
    <w:pPr>
      <w:widowControl/>
      <w:snapToGrid w:val="0"/>
      <w:spacing w:before="120" w:after="160" w:line="360" w:lineRule="auto"/>
      <w:ind w:right="-360"/>
      <w:jc w:val="left"/>
    </w:pPr>
    <w:rPr>
      <w:rFonts w:ascii="Arial" w:hAnsi="Arial"/>
      <w:kern w:val="0"/>
      <w:sz w:val="24"/>
      <w:szCs w:val="20"/>
      <w:lang w:eastAsia="en-US"/>
    </w:rPr>
  </w:style>
  <w:style w:type="paragraph" w:customStyle="1" w:styleId="113">
    <w:name w:val="正文（标题三）"/>
    <w:basedOn w:val="1"/>
    <w:qFormat/>
    <w:uiPriority w:val="0"/>
    <w:pPr>
      <w:spacing w:line="360" w:lineRule="auto"/>
      <w:ind w:left="170" w:firstLine="425"/>
    </w:pPr>
    <w:rPr>
      <w:sz w:val="24"/>
    </w:rPr>
  </w:style>
  <w:style w:type="paragraph" w:customStyle="1" w:styleId="114">
    <w:name w:val="样式 标题 2 + 宋体 五号 行距: 单倍行距"/>
    <w:basedOn w:val="5"/>
    <w:qFormat/>
    <w:uiPriority w:val="0"/>
    <w:pPr>
      <w:autoSpaceDE/>
      <w:autoSpaceDN/>
      <w:spacing w:before="260" w:after="260" w:line="240" w:lineRule="auto"/>
      <w:ind w:left="1140"/>
      <w:jc w:val="left"/>
      <w:textAlignment w:val="baseline"/>
    </w:pPr>
    <w:rPr>
      <w:rFonts w:ascii="宋体" w:hAnsi="宋体" w:eastAsia="宋体" w:cs="Century"/>
      <w:bCs/>
      <w:sz w:val="21"/>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Char11"/>
    <w:basedOn w:val="1"/>
    <w:qFormat/>
    <w:uiPriority w:val="0"/>
    <w:pPr>
      <w:tabs>
        <w:tab w:val="left" w:pos="360"/>
      </w:tabs>
    </w:pPr>
    <w:rPr>
      <w:sz w:val="24"/>
    </w:rPr>
  </w:style>
  <w:style w:type="paragraph" w:customStyle="1" w:styleId="117">
    <w:name w:val="Char1 Char Char Char Char Char Char"/>
    <w:basedOn w:val="1"/>
    <w:qFormat/>
    <w:uiPriority w:val="0"/>
    <w:rPr>
      <w:rFonts w:ascii="Tahoma" w:hAnsi="Tahoma"/>
      <w:szCs w:val="20"/>
    </w:rPr>
  </w:style>
  <w:style w:type="paragraph" w:customStyle="1" w:styleId="118">
    <w:name w:val="正文1"/>
    <w:basedOn w:val="1"/>
    <w:qFormat/>
    <w:uiPriority w:val="0"/>
    <w:pPr>
      <w:spacing w:before="60" w:after="60" w:line="360" w:lineRule="auto"/>
      <w:ind w:left="100" w:leftChars="100"/>
      <w:outlineLvl w:val="6"/>
    </w:pPr>
    <w:rPr>
      <w:sz w:val="24"/>
    </w:rPr>
  </w:style>
  <w:style w:type="paragraph" w:customStyle="1" w:styleId="1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0">
    <w:name w:val="正文7"/>
    <w:basedOn w:val="90"/>
    <w:qFormat/>
    <w:uiPriority w:val="0"/>
    <w:pPr>
      <w:numPr>
        <w:numId w:val="3"/>
      </w:numPr>
      <w:tabs>
        <w:tab w:val="left" w:pos="360"/>
        <w:tab w:val="left" w:pos="820"/>
        <w:tab w:val="clear" w:pos="720"/>
      </w:tabs>
      <w:ind w:left="1120" w:leftChars="700"/>
    </w:pPr>
  </w:style>
  <w:style w:type="paragraph" w:customStyle="1" w:styleId="121">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12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styleId="123">
    <w:name w:val="List Paragraph"/>
    <w:basedOn w:val="1"/>
    <w:qFormat/>
    <w:uiPriority w:val="34"/>
    <w:pPr>
      <w:ind w:firstLine="420" w:firstLineChars="200"/>
    </w:pPr>
  </w:style>
  <w:style w:type="paragraph" w:customStyle="1" w:styleId="124">
    <w:name w:val="标注"/>
    <w:qFormat/>
    <w:uiPriority w:val="0"/>
    <w:pPr>
      <w:spacing w:beforeLines="50" w:line="360" w:lineRule="auto"/>
      <w:jc w:val="center"/>
    </w:pPr>
    <w:rPr>
      <w:rFonts w:ascii="楷体_GB2312" w:hAnsi="Times New Roman" w:eastAsia="宋体" w:cs="Times New Roman"/>
      <w:sz w:val="24"/>
      <w:lang w:val="en-US" w:eastAsia="zh-CN" w:bidi="ar-SA"/>
    </w:rPr>
  </w:style>
  <w:style w:type="paragraph" w:customStyle="1" w:styleId="125">
    <w:name w:val="Titel 2"/>
    <w:basedOn w:val="1"/>
    <w:qFormat/>
    <w:uiPriority w:val="0"/>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126">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7">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8">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9">
    <w:name w:val="Char Char1"/>
    <w:basedOn w:val="13"/>
    <w:qFormat/>
    <w:uiPriority w:val="0"/>
    <w:rPr>
      <w:rFonts w:ascii="Tahoma" w:hAnsi="Tahoma"/>
      <w:sz w:val="24"/>
    </w:rPr>
  </w:style>
  <w:style w:type="paragraph" w:customStyle="1" w:styleId="130">
    <w:name w:val="正文5"/>
    <w:basedOn w:val="1"/>
    <w:qFormat/>
    <w:uiPriority w:val="0"/>
    <w:pPr>
      <w:numPr>
        <w:ilvl w:val="0"/>
        <w:numId w:val="4"/>
      </w:numPr>
      <w:spacing w:before="60" w:after="60" w:line="360" w:lineRule="auto"/>
      <w:ind w:left="920" w:leftChars="500"/>
    </w:pPr>
    <w:rPr>
      <w:sz w:val="24"/>
    </w:rPr>
  </w:style>
  <w:style w:type="paragraph" w:customStyle="1" w:styleId="131">
    <w:name w:val="样式6"/>
    <w:basedOn w:val="68"/>
    <w:qFormat/>
    <w:uiPriority w:val="0"/>
    <w:rPr>
      <w:rFonts w:ascii="宋体" w:hAnsi="宋体"/>
    </w:rPr>
  </w:style>
  <w:style w:type="paragraph" w:customStyle="1" w:styleId="132">
    <w:name w:val="xl49"/>
    <w:basedOn w:val="1"/>
    <w:qFormat/>
    <w:uiPriority w:val="0"/>
    <w:pPr>
      <w:widowControl/>
      <w:pBdr>
        <w:left w:val="single" w:color="auto" w:sz="4" w:space="0"/>
      </w:pBdr>
      <w:spacing w:before="100" w:beforeAutospacing="1" w:after="100" w:afterAutospacing="1"/>
      <w:jc w:val="left"/>
      <w:textAlignment w:val="center"/>
    </w:pPr>
    <w:rPr>
      <w:b/>
      <w:bCs/>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表格标注"/>
    <w:qFormat/>
    <w:uiPriority w:val="0"/>
    <w:pPr>
      <w:numPr>
        <w:ilvl w:val="0"/>
        <w:numId w:val="5"/>
      </w:numPr>
      <w:spacing w:beforeLines="50" w:line="360" w:lineRule="auto"/>
      <w:jc w:val="center"/>
    </w:pPr>
    <w:rPr>
      <w:rFonts w:ascii="楷体_GB2312" w:hAnsi="Times New Roman" w:eastAsia="宋体" w:cs="Times New Roman"/>
      <w:sz w:val="21"/>
      <w:lang w:val="en-US" w:eastAsia="zh-CN" w:bidi="ar-SA"/>
    </w:rPr>
  </w:style>
  <w:style w:type="paragraph" w:customStyle="1" w:styleId="135">
    <w:name w:val="注意事项"/>
    <w:basedOn w:val="1"/>
    <w:qFormat/>
    <w:uiPriority w:val="0"/>
    <w:pPr>
      <w:spacing w:before="60" w:after="60" w:line="360" w:lineRule="auto"/>
      <w:ind w:firstLine="200" w:firstLineChars="200"/>
    </w:pPr>
    <w:rPr>
      <w:b/>
      <w:bCs/>
      <w:sz w:val="24"/>
    </w:rPr>
  </w:style>
  <w:style w:type="paragraph" w:customStyle="1" w:styleId="136">
    <w:name w:val="Char1"/>
    <w:basedOn w:val="1"/>
    <w:qFormat/>
    <w:uiPriority w:val="0"/>
    <w:pPr>
      <w:adjustRightInd w:val="0"/>
      <w:spacing w:line="360" w:lineRule="auto"/>
    </w:pPr>
    <w:rPr>
      <w:kern w:val="0"/>
      <w:sz w:val="24"/>
      <w:szCs w:val="20"/>
    </w:rPr>
  </w:style>
  <w:style w:type="paragraph" w:customStyle="1" w:styleId="137">
    <w:name w:val="xl50"/>
    <w:basedOn w:val="1"/>
    <w:qFormat/>
    <w:uiPriority w:val="0"/>
    <w:pPr>
      <w:widowControl/>
      <w:pBdr>
        <w:right w:val="single" w:color="auto" w:sz="4" w:space="0"/>
      </w:pBdr>
      <w:spacing w:before="100" w:beforeAutospacing="1" w:after="100" w:afterAutospacing="1"/>
      <w:jc w:val="left"/>
      <w:textAlignment w:val="center"/>
    </w:pPr>
    <w:rPr>
      <w:b/>
      <w:bCs/>
      <w:kern w:val="0"/>
      <w:sz w:val="20"/>
      <w:szCs w:val="20"/>
    </w:rPr>
  </w:style>
  <w:style w:type="paragraph" w:customStyle="1" w:styleId="13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13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0">
    <w:name w:val="彩色列表 - 强调文字颜色 11"/>
    <w:basedOn w:val="1"/>
    <w:qFormat/>
    <w:uiPriority w:val="0"/>
    <w:pPr>
      <w:spacing w:after="120" w:line="276" w:lineRule="auto"/>
      <w:ind w:firstLine="420" w:firstLineChars="200"/>
    </w:pPr>
    <w:rPr>
      <w:rFonts w:ascii="Calibri" w:hAnsi="Calibri" w:eastAsia="仿宋"/>
      <w:szCs w:val="22"/>
    </w:rPr>
  </w:style>
  <w:style w:type="paragraph" w:customStyle="1" w:styleId="141">
    <w:name w:val="样式3"/>
    <w:basedOn w:val="4"/>
    <w:qFormat/>
    <w:uiPriority w:val="0"/>
    <w:pPr>
      <w:keepNext w:val="0"/>
      <w:keepLines w:val="0"/>
      <w:pageBreakBefore/>
      <w:autoSpaceDE/>
      <w:autoSpaceDN/>
      <w:adjustRightInd/>
      <w:spacing w:line="360" w:lineRule="auto"/>
    </w:pPr>
    <w:rPr>
      <w:rFonts w:hAnsi="宋体"/>
      <w:bCs/>
      <w:sz w:val="36"/>
      <w:szCs w:val="44"/>
    </w:rPr>
  </w:style>
  <w:style w:type="paragraph" w:customStyle="1" w:styleId="142">
    <w:name w:val="font6"/>
    <w:basedOn w:val="1"/>
    <w:qFormat/>
    <w:uiPriority w:val="0"/>
    <w:pPr>
      <w:widowControl/>
      <w:spacing w:before="100" w:beforeAutospacing="1" w:after="100" w:afterAutospacing="1"/>
      <w:jc w:val="left"/>
    </w:pPr>
    <w:rPr>
      <w:kern w:val="0"/>
      <w:sz w:val="20"/>
      <w:szCs w:val="20"/>
    </w:rPr>
  </w:style>
  <w:style w:type="paragraph" w:customStyle="1" w:styleId="143">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4">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正文4"/>
    <w:basedOn w:val="1"/>
    <w:qFormat/>
    <w:uiPriority w:val="0"/>
    <w:pPr>
      <w:numPr>
        <w:ilvl w:val="0"/>
        <w:numId w:val="6"/>
      </w:numPr>
      <w:spacing w:before="60" w:after="60" w:line="360" w:lineRule="auto"/>
      <w:ind w:left="820" w:leftChars="400"/>
    </w:pPr>
    <w:rPr>
      <w:sz w:val="24"/>
    </w:rPr>
  </w:style>
  <w:style w:type="paragraph" w:customStyle="1" w:styleId="147">
    <w:name w:val="正文3"/>
    <w:basedOn w:val="1"/>
    <w:qFormat/>
    <w:uiPriority w:val="0"/>
    <w:pPr>
      <w:spacing w:before="60" w:after="60" w:line="360" w:lineRule="auto"/>
      <w:ind w:left="300" w:leftChars="300"/>
      <w:outlineLvl w:val="8"/>
    </w:pPr>
    <w:rPr>
      <w:sz w:val="24"/>
      <w:szCs w:val="21"/>
    </w:rPr>
  </w:style>
  <w:style w:type="paragraph" w:customStyle="1" w:styleId="148">
    <w:name w:val="标题X.1.1"/>
    <w:basedOn w:val="1"/>
    <w:next w:val="10"/>
    <w:qFormat/>
    <w:uiPriority w:val="0"/>
    <w:pPr>
      <w:tabs>
        <w:tab w:val="left" w:pos="540"/>
        <w:tab w:val="left" w:pos="5985"/>
      </w:tabs>
      <w:spacing w:before="468" w:beforeLines="150" w:line="400" w:lineRule="exact"/>
      <w:outlineLvl w:val="2"/>
    </w:pPr>
    <w:rPr>
      <w:rFonts w:ascii="宋体" w:hAnsi="宋体"/>
      <w:b/>
      <w:sz w:val="30"/>
      <w:szCs w:val="30"/>
    </w:rPr>
  </w:style>
  <w:style w:type="paragraph" w:customStyle="1" w:styleId="14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说明"/>
    <w:basedOn w:val="1"/>
    <w:qFormat/>
    <w:uiPriority w:val="0"/>
    <w:pPr>
      <w:spacing w:before="60" w:after="60" w:line="360" w:lineRule="auto"/>
      <w:ind w:firstLine="200" w:firstLineChars="200"/>
    </w:pPr>
    <w:rPr>
      <w:sz w:val="24"/>
    </w:rPr>
  </w:style>
  <w:style w:type="paragraph" w:customStyle="1" w:styleId="151">
    <w:name w:val="Char1 Char Char Char Char Char Char Char Char Char"/>
    <w:basedOn w:val="1"/>
    <w:qFormat/>
    <w:uiPriority w:val="0"/>
    <w:pPr>
      <w:adjustRightInd w:val="0"/>
      <w:spacing w:line="360" w:lineRule="auto"/>
    </w:pPr>
    <w:rPr>
      <w:kern w:val="0"/>
      <w:sz w:val="24"/>
      <w:szCs w:val="20"/>
    </w:rPr>
  </w:style>
  <w:style w:type="paragraph" w:customStyle="1" w:styleId="15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3">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5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table" w:customStyle="1" w:styleId="15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5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57">
    <w:name w:val="正文 + 小三"/>
    <w:basedOn w:val="1"/>
    <w:qFormat/>
    <w:uiPriority w:val="0"/>
    <w:pPr>
      <w:ind w:left="600" w:firstLine="425"/>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39163</Words>
  <Characters>41241</Characters>
  <Lines>331</Lines>
  <Paragraphs>93</Paragraphs>
  <TotalTime>3</TotalTime>
  <ScaleCrop>false</ScaleCrop>
  <LinksUpToDate>false</LinksUpToDate>
  <CharactersWithSpaces>42468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2017-08-14T21:23:00Z</dcterms:created>
  <dc:creator>dell</dc:creator>
  <cp:lastModifiedBy>周若晴</cp:lastModifiedBy>
  <cp:lastPrinted>2017-03-17T21:41:00Z</cp:lastPrinted>
  <dcterms:modified xsi:type="dcterms:W3CDTF">2023-07-05T08:58:16Z</dcterms:modified>
  <dc:title>02年杜范本稿</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E806CEC4D7C812642AD1A3646C1EECC5_43</vt:lpwstr>
  </property>
</Properties>
</file>